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0388" w14:textId="76544D61" w:rsidR="00D97C13" w:rsidRDefault="00D97C13">
      <w:pPr>
        <w:spacing w:after="0" w:line="240" w:lineRule="auto"/>
        <w:ind w:firstLine="0"/>
        <w:jc w:val="left"/>
        <w:rPr>
          <w:rFonts w:eastAsiaTheme="majorEastAsia" w:cstheme="majorBidi"/>
          <w:b/>
          <w:color w:val="000000" w:themeColor="text1"/>
          <w:sz w:val="28"/>
          <w:szCs w:val="32"/>
        </w:rPr>
      </w:pPr>
    </w:p>
    <w:p w14:paraId="1E9AB614" w14:textId="6B000851" w:rsidR="00E347DC" w:rsidRDefault="00E347DC" w:rsidP="00C40932">
      <w:pPr>
        <w:pStyle w:val="Heading1"/>
      </w:pPr>
      <w:r>
        <w:t xml:space="preserve">Appendix A: MATLAB and HAZ45 Model </w:t>
      </w:r>
      <w:r w:rsidRPr="00C40932">
        <w:t>Implementations</w:t>
      </w:r>
    </w:p>
    <w:p w14:paraId="3047EA85" w14:textId="77777777" w:rsidR="00E347DC" w:rsidRDefault="00E347DC" w:rsidP="00E347DC"/>
    <w:p w14:paraId="51FCAE35" w14:textId="77777777" w:rsidR="00E347DC" w:rsidRDefault="00E347DC" w:rsidP="00E347DC">
      <w:r>
        <w:t xml:space="preserve">The repository </w:t>
      </w:r>
      <w:hyperlink r:id="rId8" w:history="1">
        <w:r w:rsidRPr="000B20AE">
          <w:rPr>
            <w:rStyle w:val="Hyperlink"/>
          </w:rPr>
          <w:t>https://github.com/jay14bay/USGS_G22AP00199</w:t>
        </w:r>
      </w:hyperlink>
      <w:r>
        <w:t xml:space="preserve"> contains the following MATLAB files:</w:t>
      </w:r>
    </w:p>
    <w:p w14:paraId="65B40271" w14:textId="77777777" w:rsidR="00E347DC" w:rsidRDefault="00E347DC" w:rsidP="00E347DC">
      <w:pPr>
        <w:pStyle w:val="ListParagraph"/>
        <w:numPr>
          <w:ilvl w:val="0"/>
          <w:numId w:val="19"/>
        </w:numPr>
        <w:contextualSpacing w:val="0"/>
      </w:pPr>
      <w:r>
        <w:t>Bea24_Example.m: a script which calculates the directivity effect (median and standard deviation) for an example scenario and produces a map, making use of the functions below.</w:t>
      </w:r>
    </w:p>
    <w:p w14:paraId="45CE8510" w14:textId="77777777" w:rsidR="00E347DC" w:rsidRDefault="00E347DC" w:rsidP="00E347DC">
      <w:pPr>
        <w:pStyle w:val="ListParagraph"/>
        <w:numPr>
          <w:ilvl w:val="0"/>
          <w:numId w:val="19"/>
        </w:numPr>
        <w:contextualSpacing w:val="0"/>
      </w:pPr>
      <w:r>
        <w:t xml:space="preserve">GC2.m: Calculates the GC2 coordinates. This function is </w:t>
      </w:r>
      <w:r w:rsidRPr="006041BE">
        <w:t xml:space="preserve">a conversion to MATLAB of Brian </w:t>
      </w:r>
      <w:proofErr w:type="spellStart"/>
      <w:r w:rsidRPr="006041BE">
        <w:t>Chiou's</w:t>
      </w:r>
      <w:proofErr w:type="spellEnd"/>
      <w:r w:rsidRPr="006041BE">
        <w:t xml:space="preserve"> R functions</w:t>
      </w:r>
      <w:r>
        <w:t xml:space="preserve"> (pers. comm.)</w:t>
      </w:r>
    </w:p>
    <w:p w14:paraId="1ED392C0" w14:textId="77777777" w:rsidR="00E347DC" w:rsidRDefault="00E347DC" w:rsidP="00E347DC">
      <w:pPr>
        <w:pStyle w:val="ListParagraph"/>
        <w:numPr>
          <w:ilvl w:val="0"/>
          <w:numId w:val="19"/>
        </w:numPr>
        <w:contextualSpacing w:val="0"/>
      </w:pPr>
      <w:r>
        <w:t xml:space="preserve">Bea24.m: a function which implements the Bea24 directivity model. </w:t>
      </w:r>
    </w:p>
    <w:p w14:paraId="7B08FFEE" w14:textId="77777777" w:rsidR="00E347DC" w:rsidRDefault="00E347DC" w:rsidP="00E347DC">
      <w:r>
        <w:t xml:space="preserve">The repository </w:t>
      </w:r>
      <w:hyperlink r:id="rId9" w:history="1">
        <w:r w:rsidRPr="000B20AE">
          <w:rPr>
            <w:rStyle w:val="Hyperlink"/>
          </w:rPr>
          <w:t>https://github.com/jay14bay/USGS_G22AP00199</w:t>
        </w:r>
      </w:hyperlink>
      <w:r>
        <w:t xml:space="preserve"> contains the following files for implementation of the model into HAZ45.2:</w:t>
      </w:r>
    </w:p>
    <w:p w14:paraId="234F4C8B" w14:textId="77777777" w:rsidR="00E347DC" w:rsidRDefault="00E347DC" w:rsidP="00E347DC">
      <w:pPr>
        <w:pStyle w:val="ListParagraph"/>
        <w:numPr>
          <w:ilvl w:val="0"/>
          <w:numId w:val="32"/>
        </w:numPr>
        <w:contextualSpacing w:val="0"/>
      </w:pPr>
      <w:r>
        <w:t xml:space="preserve">Directivity_bea24.f: a </w:t>
      </w:r>
      <w:proofErr w:type="spellStart"/>
      <w:r>
        <w:t>fortran</w:t>
      </w:r>
      <w:proofErr w:type="spellEnd"/>
      <w:r>
        <w:t xml:space="preserve"> subroutine which implements the directivity model.</w:t>
      </w:r>
    </w:p>
    <w:p w14:paraId="3438265F" w14:textId="77777777" w:rsidR="00E347DC" w:rsidRDefault="00E347DC" w:rsidP="00E347DC">
      <w:pPr>
        <w:pStyle w:val="ListParagraph"/>
        <w:numPr>
          <w:ilvl w:val="0"/>
          <w:numId w:val="32"/>
        </w:numPr>
        <w:contextualSpacing w:val="0"/>
      </w:pPr>
      <w:r>
        <w:t xml:space="preserve">Modified versions of the following HAZ45.2 programs and subroutines: </w:t>
      </w:r>
      <w:proofErr w:type="spellStart"/>
      <w:r>
        <w:t>Directivity.f</w:t>
      </w:r>
      <w:proofErr w:type="spellEnd"/>
      <w:r>
        <w:t xml:space="preserve">, Haz_main2.f, gc2.f, </w:t>
      </w:r>
      <w:proofErr w:type="spellStart"/>
      <w:proofErr w:type="gramStart"/>
      <w:r>
        <w:t>cldist.f</w:t>
      </w:r>
      <w:proofErr w:type="spellEnd"/>
      <w:proofErr w:type="gramEnd"/>
      <w:r>
        <w:t>, and declare1.h</w:t>
      </w:r>
    </w:p>
    <w:p w14:paraId="6924D4FD" w14:textId="77777777" w:rsidR="00E347DC" w:rsidRPr="00976CB7" w:rsidRDefault="00E347DC" w:rsidP="00E347DC">
      <w:pPr>
        <w:pStyle w:val="ListParagraph"/>
        <w:numPr>
          <w:ilvl w:val="0"/>
          <w:numId w:val="32"/>
        </w:numPr>
        <w:contextualSpacing w:val="0"/>
      </w:pPr>
      <w:r>
        <w:t xml:space="preserve">ChangeLog-7Feb2024.txt: a list of the required changes from HAZ45.2 required to implement the model. </w:t>
      </w:r>
    </w:p>
    <w:p w14:paraId="3BC1BE0E" w14:textId="77777777" w:rsidR="00E347DC" w:rsidRDefault="00E347DC">
      <w:pPr>
        <w:spacing w:after="0"/>
        <w:jc w:val="left"/>
      </w:pPr>
    </w:p>
    <w:p w14:paraId="3882144B" w14:textId="7E99AAFC" w:rsidR="00D90724" w:rsidRDefault="00D90724" w:rsidP="00C40932">
      <w:pPr>
        <w:pStyle w:val="Heading1"/>
      </w:pPr>
      <w:bookmarkStart w:id="0" w:name="_Toc158293735"/>
      <w:r>
        <w:br w:type="page"/>
      </w:r>
      <w:r>
        <w:lastRenderedPageBreak/>
        <w:t xml:space="preserve">Appendix </w:t>
      </w:r>
      <w:r w:rsidR="00E347DC">
        <w:t>B</w:t>
      </w:r>
      <w:r>
        <w:t xml:space="preserve">: </w:t>
      </w:r>
      <w:r w:rsidR="009E7DFD">
        <w:t>Directivity Centering</w:t>
      </w:r>
    </w:p>
    <w:p w14:paraId="5203B67D" w14:textId="6E15DC06" w:rsidR="00F8248A" w:rsidRDefault="00F8248A" w:rsidP="00193F25">
      <w:r>
        <w:t xml:space="preserve">This appendix provides detailed descriptions of the two directivity centering concepts: neutrality and centering, followed by an evaluation of the neutrality of the NGA-W2 database. </w:t>
      </w:r>
    </w:p>
    <w:p w14:paraId="0F94286A" w14:textId="6B26FEA3" w:rsidR="009E7DFD" w:rsidRPr="00A91C35" w:rsidRDefault="009E7DFD" w:rsidP="00193F25">
      <w:pPr>
        <w:ind w:firstLine="0"/>
        <w:rPr>
          <w:bCs/>
        </w:rPr>
      </w:pPr>
      <w:r w:rsidRPr="00193F25">
        <w:rPr>
          <w:b/>
          <w:bCs/>
        </w:rPr>
        <w:t>Concept 1: Neutrality of the Directivity Condition</w:t>
      </w:r>
    </w:p>
    <w:p w14:paraId="41DF19F0" w14:textId="77777777" w:rsidR="009E7DFD" w:rsidRDefault="009E7DFD" w:rsidP="009E7DFD">
      <w:r>
        <w:t>The ‘neutrality’ refers to the bias of the average directivity condition contained within the empirical data as compared to the average directivity condition for uniformly distributed sites and hypocenters. Any models developed from the empirical data will reflect this bias. Therefore, this concept can apply to a GM database or to an empirical GMM derived from such a database. If the bias is zero, the directivity condition is neutral or ‘centered’ for future earthquakes. The neutrality issue applies to all GMMs, whether that GMM explicitly accounts for rupture directivity effects or not.</w:t>
      </w:r>
    </w:p>
    <w:p w14:paraId="4F4FCDA3" w14:textId="77777777" w:rsidR="009E7DFD" w:rsidRDefault="009E7DFD" w:rsidP="009E7DFD">
      <w:r>
        <w:t xml:space="preserve">The neutrality of the directivity condition is a sampling bias issue. For a given earthquake, the bias will depend on the number of and locations of recording stations, including their distribution of source-site azimuths, and on the finite-fault properties of the rupture, including the rupture geometry and earthquake hypocenter location. For a GM database (consisting of recordings from a large set of earthquakes and recording stations), the neutrality condition depends on the collection of source-site recording pairs and can vary with distance. At a given distance, a database can be biased towards a forward directivity condition (characterized by larger than average long-period ground-motion amplitude with shorter durations), a backwards directivity condition (characterized by smaller than average long-period ground-motion amplitude with longer durations), or a neutral condition. </w:t>
      </w:r>
    </w:p>
    <w:p w14:paraId="4390C693" w14:textId="518A687D" w:rsidR="009E7DFD" w:rsidRDefault="009E7DFD" w:rsidP="009E7DFD">
      <w:r>
        <w:t xml:space="preserve">As an example, consider a hypothetical ground-motion database consisting of many well-recorded earthquakes, one of which is the vertical strike-slip earthquake shown in Figure </w:t>
      </w:r>
      <w:r w:rsidR="00F8248A">
        <w:t>B</w:t>
      </w:r>
      <w:r>
        <w:t xml:space="preserve">1a. In Earthquake #1, all five of the recording stations are at locations where forward directivity effects are expected to some degree, and therefore larger than average long-period ground-motion amplitudes are expected for this distance, corresponding to positive total residuals. This is due to their source-site azimuths and distances, and to the hypocenter location, which results in rupture propagation to the north towards the sites. As a result, the ground-motion recordings from </w:t>
      </w:r>
      <w:proofErr w:type="gramStart"/>
      <w:r>
        <w:t>Earthquake</w:t>
      </w:r>
      <w:proofErr w:type="gramEnd"/>
      <w:r>
        <w:t xml:space="preserve"> #1 will have a forward directivity bias. The </w:t>
      </w:r>
      <w:r w:rsidRPr="00511DBE">
        <w:rPr>
          <w:b/>
          <w:bCs/>
        </w:rPr>
        <w:t>M</w:t>
      </w:r>
      <w:r>
        <w:t xml:space="preserve">6.19 1984 Morgan Hill earthquake is an example of a similar situation from the NGA-W2 database (Ancheta et al., </w:t>
      </w:r>
      <w:r>
        <w:lastRenderedPageBreak/>
        <w:t xml:space="preserve">2014; Figure </w:t>
      </w:r>
      <w:r w:rsidR="00F8248A">
        <w:t>B</w:t>
      </w:r>
      <w:r>
        <w:t>1b). The near-fault sampling of data in NGA-W1 (</w:t>
      </w:r>
      <w:proofErr w:type="spellStart"/>
      <w:r>
        <w:t>Chiou</w:t>
      </w:r>
      <w:proofErr w:type="spellEnd"/>
      <w:r>
        <w:t xml:space="preserve"> et al., 2008) was biased towards sites with forward directivity (Donahue et al., 2019</w:t>
      </w:r>
      <w:r w:rsidR="001A4624">
        <w:t>; D19 hereafter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7"/>
      </w:tblGrid>
      <w:tr w:rsidR="009E7DFD" w14:paraId="50852D83" w14:textId="77777777" w:rsidTr="007A17F9">
        <w:trPr>
          <w:trHeight w:val="3797"/>
        </w:trPr>
        <w:tc>
          <w:tcPr>
            <w:tcW w:w="4344" w:type="dxa"/>
            <w:vAlign w:val="center"/>
          </w:tcPr>
          <w:p w14:paraId="241EBF82" w14:textId="77777777" w:rsidR="009E7DFD" w:rsidRDefault="009E7DFD" w:rsidP="007A17F9">
            <w:pPr>
              <w:spacing w:after="0"/>
              <w:ind w:firstLine="0"/>
              <w:jc w:val="center"/>
            </w:pPr>
            <w:r>
              <w:rPr>
                <w:noProof/>
              </w:rPr>
              <w:drawing>
                <wp:inline distT="0" distB="0" distL="0" distR="0" wp14:anchorId="09989F73" wp14:editId="74607E10">
                  <wp:extent cx="2743200" cy="2554303"/>
                  <wp:effectExtent l="0" t="0" r="0" b="0"/>
                  <wp:docPr id="76649521" name="Picture 3" descr="A graph of a number of mi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521" name="Picture 3" descr="A graph of a number of miles&#10;&#10;Description automatically generated with medium confidence"/>
                          <pic:cNvPicPr/>
                        </pic:nvPicPr>
                        <pic:blipFill>
                          <a:blip r:embed="rId10"/>
                          <a:stretch>
                            <a:fillRect/>
                          </a:stretch>
                        </pic:blipFill>
                        <pic:spPr>
                          <a:xfrm>
                            <a:off x="0" y="0"/>
                            <a:ext cx="2743200" cy="2554303"/>
                          </a:xfrm>
                          <a:prstGeom prst="rect">
                            <a:avLst/>
                          </a:prstGeom>
                        </pic:spPr>
                      </pic:pic>
                    </a:graphicData>
                  </a:graphic>
                </wp:inline>
              </w:drawing>
            </w:r>
          </w:p>
        </w:tc>
        <w:tc>
          <w:tcPr>
            <w:tcW w:w="5016" w:type="dxa"/>
            <w:vAlign w:val="center"/>
          </w:tcPr>
          <w:p w14:paraId="4AA5AA5A" w14:textId="77777777" w:rsidR="009E7DFD" w:rsidRDefault="009E7DFD" w:rsidP="007A17F9">
            <w:pPr>
              <w:spacing w:after="0"/>
              <w:ind w:firstLine="0"/>
              <w:jc w:val="center"/>
            </w:pPr>
            <w:r>
              <w:rPr>
                <w:noProof/>
              </w:rPr>
              <w:drawing>
                <wp:inline distT="0" distB="0" distL="0" distR="0" wp14:anchorId="3C9165D5" wp14:editId="34D1324F">
                  <wp:extent cx="2743200" cy="2816440"/>
                  <wp:effectExtent l="0" t="0" r="0" b="3175"/>
                  <wp:docPr id="1044852223" name="Picture 2"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52223" name="Picture 2" descr="A graph of a number of points&#10;&#10;Description automatically generated with medium confidence"/>
                          <pic:cNvPicPr/>
                        </pic:nvPicPr>
                        <pic:blipFill>
                          <a:blip r:embed="rId11"/>
                          <a:stretch>
                            <a:fillRect/>
                          </a:stretch>
                        </pic:blipFill>
                        <pic:spPr>
                          <a:xfrm>
                            <a:off x="0" y="0"/>
                            <a:ext cx="2743200" cy="2816440"/>
                          </a:xfrm>
                          <a:prstGeom prst="rect">
                            <a:avLst/>
                          </a:prstGeom>
                        </pic:spPr>
                      </pic:pic>
                    </a:graphicData>
                  </a:graphic>
                </wp:inline>
              </w:drawing>
            </w:r>
          </w:p>
        </w:tc>
      </w:tr>
    </w:tbl>
    <w:p w14:paraId="202FED3B" w14:textId="2563BFA4" w:rsidR="009E7DFD" w:rsidRDefault="009E7DFD" w:rsidP="009E7DFD">
      <w:pPr>
        <w:pStyle w:val="Caption"/>
      </w:pPr>
      <w:r w:rsidRPr="007E00F8">
        <w:rPr>
          <w:b/>
          <w:bCs/>
        </w:rPr>
        <w:t xml:space="preserve">Figure </w:t>
      </w:r>
      <w:r w:rsidR="00F8248A">
        <w:rPr>
          <w:b/>
          <w:bCs/>
        </w:rPr>
        <w:t>B1</w:t>
      </w:r>
      <w:r w:rsidRPr="007E00F8">
        <w:rPr>
          <w:b/>
          <w:bCs/>
        </w:rPr>
        <w:t>.</w:t>
      </w:r>
      <w:r>
        <w:t xml:space="preserve"> (a) Hypothetical Earthquake #1, with fault trace (black), hypocenter (red star), and recording stations (blue triangles) reflecting a directivity condition that is biased toward forward directivity. (b) A map of the 1984 </w:t>
      </w:r>
      <w:r w:rsidRPr="007A17F9">
        <w:rPr>
          <w:b/>
          <w:bCs/>
        </w:rPr>
        <w:t>M</w:t>
      </w:r>
      <w:r>
        <w:t>6.19 Morgan Hill earthquake rupture trace (black) and recording stations within 50 km with usable period up to 5 sec (blue triangles).</w:t>
      </w:r>
    </w:p>
    <w:p w14:paraId="69ACC6D3" w14:textId="77777777" w:rsidR="009E7DFD" w:rsidRDefault="009E7DFD" w:rsidP="009E7DFD">
      <w:r>
        <w:t xml:space="preserve">A hypothetical database made up of only situations like </w:t>
      </w:r>
      <w:proofErr w:type="gramStart"/>
      <w:r>
        <w:t>Earthquake</w:t>
      </w:r>
      <w:proofErr w:type="gramEnd"/>
      <w:r>
        <w:t xml:space="preserve"> #1 would have a strong forward directivity bias, and a GMM derived from this database would have a forward directivity bias in the median. In a database of real earthquakes, the distribution of source-site azimuths will approach a uniform distribution as the sample of earthquakes and recording stations increases; however, the distribution of source-site azimuths may be skewed at a given distance, especially short distances and large magnitudes where recorded databases are still relatively sparse. Additionally, the sampling of the locations of hypocenters in the recorded database with respect to the recording stations may not reflect a directivity neutral condition. </w:t>
      </w:r>
    </w:p>
    <w:p w14:paraId="2454770D" w14:textId="77777777" w:rsidR="009E7DFD" w:rsidRDefault="009E7DFD" w:rsidP="009E7DFD">
      <w:r>
        <w:t xml:space="preserve">Because of these factors, the neutrality of directivity condition needs to be checked for recorded databases and empirical GMMs. If the bias is zero at a given distance range, the directivity condition is neutral for that GMM. If the bias is non-zero at a given distance range, the directivity condition in the GMM is also biased. This needs to be checked before a directivity adjustment model can be derived from the same database (and subsequently applied to the GMM), because a directivity model based upon a biased directivity condition will also be biased. </w:t>
      </w:r>
    </w:p>
    <w:p w14:paraId="576804DD" w14:textId="2EAACB0B" w:rsidR="009E7DFD" w:rsidRDefault="009E7DFD" w:rsidP="009E7DFD">
      <w:r>
        <w:lastRenderedPageBreak/>
        <w:t>Similar concepts apply to the neutrality condition of the aleatory variability. The range of modeled directivity effects from the distribution of stations in the data set is quantified by their standard deviation of the directivity effects. This standard deviation can be compared with the standard deviation of the directivity effect from uniformly distributed stations with the full range of azimuths to determine if the aleatory variability of the directivity condition is neutral. This method for checking the neutrality of the directivity condition is applied to the NGA-W2 database below.</w:t>
      </w:r>
    </w:p>
    <w:p w14:paraId="4C8F75A4" w14:textId="77777777" w:rsidR="009E7DFD" w:rsidRPr="00A91C35" w:rsidRDefault="009E7DFD" w:rsidP="00193F25">
      <w:pPr>
        <w:ind w:firstLine="0"/>
        <w:rPr>
          <w:bCs/>
        </w:rPr>
      </w:pPr>
      <w:r w:rsidRPr="00193F25">
        <w:rPr>
          <w:b/>
          <w:bCs/>
        </w:rPr>
        <w:t>Concept 2: Centering of a Directivity Model</w:t>
      </w:r>
    </w:p>
    <w:p w14:paraId="36A0E8E0" w14:textId="77777777" w:rsidR="009E7DFD" w:rsidRDefault="009E7DFD" w:rsidP="009E7DFD">
      <w:r>
        <w:t xml:space="preserve">The second concept related to the term ‘centering’ applies to a DM which is designed to adjust the median and standard deviation of a GMM without directivity. A DM is centered if it does not change the average magnitude and distance scaling of the GMM. </w:t>
      </w:r>
    </w:p>
    <w:p w14:paraId="56129A1D" w14:textId="77777777" w:rsidR="009E7DFD" w:rsidRDefault="009E7DFD" w:rsidP="009E7DFD">
      <w:r>
        <w:t xml:space="preserve">A racetrack is a set of sites uniformly distributed over all azimuths around the finite-fault rupture and with equal source-site distance. For a given earthquake scenario and source-site distance, the mean of the directivity parameter on a racetrack is zero if the DM is centered. When the centered DM is applied to the GMM, the average distance scaling, which does not traditionally vary with azimuth, is unchanged. Similarly, the overall magnitude scaling is unchanged because the mean directivity adjustment over all distances and azimuths for the scenario is also zero. </w:t>
      </w:r>
    </w:p>
    <w:p w14:paraId="22AF21FB" w14:textId="77777777" w:rsidR="009E7DFD" w:rsidRDefault="009E7DFD" w:rsidP="009E7DFD">
      <w:r>
        <w:t>In other words, a centered DM predicts azimuthally varying median adjustments, but the mean of these is zero over all azimuths at a given distance. This is necessary because the magnitude and distance scaling of the GMM are centered with respect to the recorded data used to develop the GMM. Applying a non-centered DM implies that the magnitude and/or distance scaling of the GMM were biased.</w:t>
      </w:r>
    </w:p>
    <w:p w14:paraId="33B74CB0" w14:textId="77777777" w:rsidR="009E7DFD" w:rsidRDefault="009E7DFD" w:rsidP="009E7DFD">
      <w:r>
        <w:t xml:space="preserve">The </w:t>
      </w:r>
      <w:proofErr w:type="spellStart"/>
      <w:r>
        <w:t>Chiou</w:t>
      </w:r>
      <w:proofErr w:type="spellEnd"/>
      <w:r>
        <w:t xml:space="preserve"> and Youngs (2014; CY14) GMM is the only NGA-W2 model to explicitly incorporate directivity effects. CY14 uses the centered directivity predictor </w:t>
      </w:r>
      <m:oMath>
        <m:r>
          <w:rPr>
            <w:rFonts w:ascii="Cambria Math" w:hAnsi="Cambria Math"/>
            <w:szCs w:val="22"/>
          </w:rPr>
          <m:t>∆DPP</m:t>
        </m:r>
      </m:oMath>
      <w:r>
        <w:rPr>
          <w:rFonts w:eastAsiaTheme="minorEastAsia"/>
          <w:szCs w:val="22"/>
        </w:rPr>
        <w:t xml:space="preserve">. The approach taken by CY14 is to center </w:t>
      </w:r>
      <m:oMath>
        <m:r>
          <w:rPr>
            <w:rFonts w:ascii="Cambria Math" w:hAnsi="Cambria Math"/>
            <w:szCs w:val="22"/>
          </w:rPr>
          <m:t>∆DPP</m:t>
        </m:r>
      </m:oMath>
      <w:r>
        <w:t xml:space="preserve"> on its mean, defined as the mean </w:t>
      </w:r>
      <m:oMath>
        <m:r>
          <w:rPr>
            <w:rFonts w:ascii="Cambria Math" w:hAnsi="Cambria Math"/>
            <w:szCs w:val="22"/>
          </w:rPr>
          <m:t>DPP</m:t>
        </m:r>
      </m:oMath>
      <w:r>
        <w:t xml:space="preserve"> value over a suite of sites located at the same distance to an earthquake over all azimuths (sites on a racetrack). Because mean </w:t>
      </w:r>
      <m:oMath>
        <m:r>
          <w:rPr>
            <w:rFonts w:ascii="Cambria Math" w:hAnsi="Cambria Math"/>
            <w:szCs w:val="22"/>
          </w:rPr>
          <m:t>DPP</m:t>
        </m:r>
      </m:oMath>
      <w:r>
        <w:rPr>
          <w:rFonts w:eastAsiaTheme="minorEastAsia"/>
          <w:szCs w:val="22"/>
        </w:rPr>
        <w:t xml:space="preserve"> is specific to an earthquake, </w:t>
      </w:r>
      <w:r>
        <w:t xml:space="preserve">CY14 fit a parametric approximation of mean </w:t>
      </w:r>
      <m:oMath>
        <m:r>
          <w:rPr>
            <w:rFonts w:ascii="Cambria Math" w:hAnsi="Cambria Math"/>
            <w:szCs w:val="22"/>
          </w:rPr>
          <m:t>DPP</m:t>
        </m:r>
      </m:oMath>
      <w:r>
        <w:rPr>
          <w:rFonts w:eastAsiaTheme="minorEastAsia"/>
          <w:szCs w:val="22"/>
        </w:rPr>
        <w:t xml:space="preserve"> to each NGA-W2 earthquake</w:t>
      </w:r>
      <w:r>
        <w:t xml:space="preserve">. The approach of centering the directivity predictor on its mean is also taken by </w:t>
      </w:r>
      <w:proofErr w:type="spellStart"/>
      <w:r>
        <w:t>Rowshandel</w:t>
      </w:r>
      <w:proofErr w:type="spellEnd"/>
      <w:r>
        <w:t xml:space="preserve"> (2013; Chapter 3 of Spudich et </w:t>
      </w:r>
      <w:r>
        <w:lastRenderedPageBreak/>
        <w:t xml:space="preserve">al. 2013) and </w:t>
      </w:r>
      <w:proofErr w:type="spellStart"/>
      <w:r>
        <w:t>Rowshandel</w:t>
      </w:r>
      <w:proofErr w:type="spellEnd"/>
      <w:r>
        <w:t xml:space="preserve"> (2018). Centering of the model described in this article is discussed further below.</w:t>
      </w:r>
    </w:p>
    <w:p w14:paraId="1A05BFC0" w14:textId="77777777" w:rsidR="009E7DFD" w:rsidRPr="00A91C35" w:rsidRDefault="009E7DFD" w:rsidP="00193F25">
      <w:pPr>
        <w:ind w:firstLine="0"/>
        <w:rPr>
          <w:bCs/>
        </w:rPr>
      </w:pPr>
      <w:r w:rsidRPr="00193F25">
        <w:rPr>
          <w:b/>
          <w:bCs/>
        </w:rPr>
        <w:t>Relationship between GMM Neutrality and DM Centering</w:t>
      </w:r>
    </w:p>
    <w:p w14:paraId="6999EAFC" w14:textId="77777777" w:rsidR="009E7DFD" w:rsidRDefault="009E7DFD" w:rsidP="009E7DFD">
      <w:r>
        <w:t>For any GMM without directivity, the average directivity effect in the observed dataset is implicitly included in the median. The GMM neutrality addresses the reference directivity condition corresponding to that median. The CY14 and Bea20 DMs were developed primarily from NGA-W2 ground-motion data, either as part of the GMM regression (CY14) or from GMM residuals (Bea20). Therefore, these DMs also implicitly include the average directivity effect in the dataset, to the extent that the models are based on the NGA-W2 data.</w:t>
      </w:r>
    </w:p>
    <w:p w14:paraId="50D8B544" w14:textId="44C2BDF3" w:rsidR="009E7DFD" w:rsidRDefault="009E7DFD" w:rsidP="009E7DFD">
      <w:r>
        <w:t>However, the centering term of a DM is not necessarily the same as the GMM neutrality term (the average directivity bias). Due to data limitations, Bea20 grouped recordings from all distances (</w:t>
      </w:r>
      <w:r w:rsidR="00C95280">
        <w:t>with source-to-site distances less than about 80km</w:t>
      </w:r>
      <w:r>
        <w:t>) rather than developing a centered model at discrete rupture distances. Bea20 was based on the relationship between the residuals and directivity parameters; these parameters include the source-site azimuth and the rupture propagation distance between the hypocenter and the site, but not the rupture distance. This resulted in a model which was centered with respect to the data used to create it, but, in forward application is not centered for any given distance when considering the full range of source-site azimuths.</w:t>
      </w:r>
    </w:p>
    <w:p w14:paraId="24AEC4E0" w14:textId="77777777" w:rsidR="009E7DFD" w:rsidRDefault="009E7DFD" w:rsidP="009E7DFD">
      <w:r>
        <w:t xml:space="preserve">To address this shortcoming, the Bea24 </w:t>
      </w:r>
      <w:r>
        <w:rPr>
          <w:rFonts w:eastAsiaTheme="minorEastAsia"/>
        </w:rPr>
        <w:t>directivity predictor is centered by removing the centering term at a given rupture distance and for a given scenario. The centering term is the mean of the un-centered directivity predictor</w:t>
      </w:r>
      <w:r>
        <w:t xml:space="preserve"> over a suite of uniformly distributed sites located at the same distance to an earthquake over all azimuths (sites on a racetrack). The centering of Bea24 is described in </w:t>
      </w:r>
      <w:r w:rsidRPr="000D2168">
        <w:rPr>
          <w:i/>
          <w:iCs/>
        </w:rPr>
        <w:t>Rupture Directivity Adjustment Model</w:t>
      </w:r>
      <w:r>
        <w:t xml:space="preserve">, and in Supplemental </w:t>
      </w:r>
      <w:r w:rsidRPr="00EC7FFA">
        <w:t xml:space="preserve">Appendix </w:t>
      </w:r>
      <w:r>
        <w:t>C</w:t>
      </w:r>
      <w:r w:rsidRPr="00EC7FFA">
        <w:t>.</w:t>
      </w:r>
    </w:p>
    <w:p w14:paraId="5ED8B645" w14:textId="22CDB1B4" w:rsidR="009E7DFD" w:rsidRPr="00193F25" w:rsidRDefault="009E7DFD" w:rsidP="009E7DFD">
      <w:pPr>
        <w:ind w:firstLine="0"/>
        <w:rPr>
          <w:b/>
          <w:bCs/>
        </w:rPr>
      </w:pPr>
      <w:r>
        <w:rPr>
          <w:b/>
          <w:bCs/>
        </w:rPr>
        <w:t>Neutrality of the NGA-W2 GMMs</w:t>
      </w:r>
    </w:p>
    <w:p w14:paraId="45F3C063" w14:textId="51024332" w:rsidR="00D90724" w:rsidRDefault="00D90724" w:rsidP="00D90724">
      <w:r>
        <w:t xml:space="preserve">D19 examined the distribution of directivity parameter </w:t>
      </w:r>
      <m:oMath>
        <m:r>
          <w:rPr>
            <w:rFonts w:ascii="Cambria Math" w:hAnsi="Cambria Math"/>
          </w:rPr>
          <m:t>∆</m:t>
        </m:r>
      </m:oMath>
      <w:r>
        <w:t xml:space="preserve">DPP (Chiou and Youngs, 2014) for NGA-W2 events with </w:t>
      </w:r>
      <w:r w:rsidRPr="003B1052">
        <w:rPr>
          <w:b/>
          <w:bCs/>
        </w:rPr>
        <w:t>M</w:t>
      </w:r>
      <w:r>
        <w:t xml:space="preserve">&gt;6.5 and sites with </w:t>
      </w:r>
      <w:proofErr w:type="spellStart"/>
      <w:r>
        <w:t>R</w:t>
      </w:r>
      <w:r w:rsidRPr="00695D02">
        <w:rPr>
          <w:rFonts w:cs="Times New Roman (Body CS)"/>
          <w:vertAlign w:val="subscript"/>
        </w:rPr>
        <w:t>rup</w:t>
      </w:r>
      <w:proofErr w:type="spellEnd"/>
      <w:r>
        <w:t xml:space="preserve"> &lt; 40 km. For events with at least 10 recordings per earthquake, D19 binned the recordings by distance and found mean </w:t>
      </w:r>
      <m:oMath>
        <m:r>
          <w:rPr>
            <w:rFonts w:ascii="Cambria Math" w:hAnsi="Cambria Math"/>
          </w:rPr>
          <m:t>∆</m:t>
        </m:r>
      </m:oMath>
      <w:r>
        <w:t xml:space="preserve">DPP values ranging from 0.002 to 0.13. D19 found the mean </w:t>
      </w:r>
      <w:r>
        <w:rPr>
          <w:rFonts w:eastAsiaTheme="minorEastAsia"/>
        </w:rPr>
        <w:t xml:space="preserve">of all </w:t>
      </w:r>
      <m:oMath>
        <m:r>
          <w:rPr>
            <w:rFonts w:ascii="Cambria Math" w:hAnsi="Cambria Math"/>
          </w:rPr>
          <m:t>∆</m:t>
        </m:r>
      </m:oMath>
      <w:r>
        <w:t xml:space="preserve">DPP values in the NGA-W2 database, regardless of distance, is 0.011. D19 concluded that, on average, the NGA-W2 data reflect a directivity-neutral condition using </w:t>
      </w:r>
      <m:oMath>
        <m:r>
          <w:rPr>
            <w:rFonts w:ascii="Cambria Math" w:hAnsi="Cambria Math"/>
          </w:rPr>
          <m:t>∆</m:t>
        </m:r>
      </m:oMath>
      <w:r>
        <w:t>DPP.</w:t>
      </w:r>
    </w:p>
    <w:p w14:paraId="33286B16" w14:textId="77777777" w:rsidR="00D90724" w:rsidRDefault="00D90724" w:rsidP="00D90724">
      <w:r>
        <w:lastRenderedPageBreak/>
        <w:t xml:space="preserve">This section evaluates the neutrality of the mean and standard deviation of the directivity condition of the NGA-W2 GMMs in more detail than D19. In this evaluation, the centered Bea24 and CY14 rupture directivity models are used. The Bea24 model predicts rupture directivity adjustment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r>
          <w:rPr>
            <w:rFonts w:ascii="Cambria Math" w:eastAsiaTheme="minorEastAsia" w:hAnsi="Cambria Math"/>
            <w:szCs w:val="22"/>
          </w:rPr>
          <m:t xml:space="preserve"> </m:t>
        </m:r>
      </m:oMath>
      <w:r>
        <w:t xml:space="preserve">in natural log units of amplification. At a given rupture distance, the mean </w:t>
      </w:r>
      <w:r>
        <w:rPr>
          <w:rFonts w:eastAsiaTheme="minorEastAsia"/>
        </w:rPr>
        <w:t xml:space="preserve">of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t xml:space="preserve"> over all source-to-site azimuths is zero because the Bea24 model is centered. This evaluation uses recordings from three NGA-W2 GMMs: </w:t>
      </w:r>
      <w:r w:rsidRPr="00DD067A">
        <w:t>A</w:t>
      </w:r>
      <w:r>
        <w:t>brahamson et al. (2014)</w:t>
      </w:r>
      <w:r w:rsidRPr="00DD067A">
        <w:t>, B</w:t>
      </w:r>
      <w:r>
        <w:t>oore et al. (2014)</w:t>
      </w:r>
      <w:r w:rsidRPr="00DD067A">
        <w:t>, and C</w:t>
      </w:r>
      <w:r>
        <w:t xml:space="preserve">ampbell and </w:t>
      </w:r>
      <w:proofErr w:type="spellStart"/>
      <w:r>
        <w:t>Bozorgnia</w:t>
      </w:r>
      <w:proofErr w:type="spellEnd"/>
      <w:r>
        <w:t xml:space="preserve"> (2014). These three GMMs were selected because these GMMs were used to develop the directivity model described in Section 4. </w:t>
      </w:r>
      <w:proofErr w:type="spellStart"/>
      <w:r>
        <w:t>Chiou</w:t>
      </w:r>
      <w:proofErr w:type="spellEnd"/>
      <w:r>
        <w:t xml:space="preserve"> and Youngs (2014) was not included in the model development because it contains directivity adjustments.</w:t>
      </w:r>
    </w:p>
    <w:p w14:paraId="30A0EBA8" w14:textId="77777777" w:rsidR="00D90724" w:rsidRDefault="00D90724" w:rsidP="00D90724">
      <w:pPr>
        <w:rPr>
          <w:rFonts w:eastAsiaTheme="minorEastAsia"/>
        </w:rPr>
      </w:pPr>
      <w:r>
        <w:t xml:space="preserve">The CY14 directivity adjustment (natural log units of amplification) is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t xml:space="preserve"> and is based on the centered directivity predictor </w:t>
      </w:r>
      <m:oMath>
        <m:r>
          <w:rPr>
            <w:rFonts w:ascii="Cambria Math" w:hAnsi="Cambria Math"/>
            <w:szCs w:val="22"/>
          </w:rPr>
          <m:t>∆DPP</m:t>
        </m:r>
      </m:oMath>
      <w:r>
        <w:rPr>
          <w:rFonts w:eastAsiaTheme="minorEastAsia"/>
          <w:szCs w:val="22"/>
        </w:rPr>
        <w:t xml:space="preserve">. </w:t>
      </w:r>
      <w:r>
        <w:rPr>
          <w:rFonts w:eastAsiaTheme="minorEastAsia"/>
        </w:rPr>
        <w:t xml:space="preserve">For the analysis here, Jennifer Donahue (personal communication) provided a spreadsheet of </w:t>
      </w:r>
      <m:oMath>
        <m:r>
          <w:rPr>
            <w:rFonts w:ascii="Cambria Math" w:hAnsi="Cambria Math"/>
            <w:szCs w:val="22"/>
          </w:rPr>
          <m:t>∆DPP</m:t>
        </m:r>
      </m:oMath>
      <w:r>
        <w:rPr>
          <w:rFonts w:eastAsiaTheme="minorEastAsia"/>
        </w:rPr>
        <w:t xml:space="preserve"> values calculated by Brian Chiou for each recording in the NGA-W2 database. The </w:t>
      </w:r>
      <m:oMath>
        <m:r>
          <w:rPr>
            <w:rFonts w:ascii="Cambria Math" w:hAnsi="Cambria Math"/>
            <w:szCs w:val="22"/>
          </w:rPr>
          <m:t>∆DPP</m:t>
        </m:r>
      </m:oMath>
      <w:r>
        <w:rPr>
          <w:rFonts w:eastAsiaTheme="minorEastAsia"/>
        </w:rPr>
        <w:t xml:space="preserve"> values were converted to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rPr>
          <w:rFonts w:eastAsiaTheme="minorEastAsia"/>
        </w:rPr>
        <w:t xml:space="preserve"> using Equation 7 of CY14, which applies a constant, magnitude taper, distance taper, and period dependence to </w:t>
      </w:r>
      <m:oMath>
        <m:r>
          <w:rPr>
            <w:rFonts w:ascii="Cambria Math" w:hAnsi="Cambria Math"/>
            <w:szCs w:val="22"/>
          </w:rPr>
          <m:t>∆DPP</m:t>
        </m:r>
      </m:oMath>
      <w:r>
        <w:rPr>
          <w:rFonts w:eastAsiaTheme="minorEastAsia"/>
        </w:rPr>
        <w:t>.</w:t>
      </w:r>
    </w:p>
    <w:p w14:paraId="287D5C82" w14:textId="77777777" w:rsidR="00D90724" w:rsidRPr="00D3677F" w:rsidRDefault="00D90724" w:rsidP="00D3677F">
      <w:pPr>
        <w:ind w:firstLine="0"/>
        <w:rPr>
          <w:b/>
          <w:bCs/>
        </w:rPr>
      </w:pPr>
      <w:r w:rsidRPr="00D3677F">
        <w:rPr>
          <w:rFonts w:eastAsiaTheme="minorEastAsia"/>
          <w:b/>
          <w:bCs/>
        </w:rPr>
        <w:t>Evaluation Method</w:t>
      </w:r>
    </w:p>
    <w:p w14:paraId="6C529DD9" w14:textId="0052E217" w:rsidR="00D90724" w:rsidRDefault="00D90724" w:rsidP="00D90724">
      <w:r>
        <w:t xml:space="preserve">We select the set of earthquakes listed in Table </w:t>
      </w:r>
      <w:r w:rsidR="00935168">
        <w:t>B-</w:t>
      </w:r>
      <w:r>
        <w:t>1 to evaluate the neutrality of NGA-W2. The earthquakes need to be large enough in magnitude to have a finite-fault model for calculating the CY14 and Bea24 directivity adjustments. Because directivity models are less established for reverse and normal style of faulting earthquakes, the focus here is on strike-slip and select oblique style of faulting earthquakes. The procedure used to evaluate the neutrality of the directivity condition is:</w:t>
      </w:r>
    </w:p>
    <w:p w14:paraId="66C0479C" w14:textId="7285658E" w:rsidR="00D90724" w:rsidRDefault="00D90724" w:rsidP="00935168">
      <w:pPr>
        <w:pStyle w:val="ListParagraph"/>
        <w:numPr>
          <w:ilvl w:val="0"/>
          <w:numId w:val="21"/>
        </w:numPr>
        <w:spacing w:after="0"/>
        <w:jc w:val="left"/>
      </w:pPr>
      <w:r>
        <w:t xml:space="preserve">For each earthquake listed in Table </w:t>
      </w:r>
      <w:r w:rsidR="00935168">
        <w:t>B</w:t>
      </w:r>
      <w:r>
        <w:t xml:space="preserve">-1, identify NGA-W2 recordings with </w:t>
      </w:r>
      <w:proofErr w:type="spellStart"/>
      <w:r>
        <w:t>R</w:t>
      </w:r>
      <w:r w:rsidRPr="00695D02">
        <w:rPr>
          <w:rFonts w:cs="Times New Roman (Body CS)"/>
          <w:vertAlign w:val="subscript"/>
        </w:rPr>
        <w:t>rup</w:t>
      </w:r>
      <w:proofErr w:type="spellEnd"/>
      <w:r>
        <w:t xml:space="preserve"> &lt; 100 km and which were used by the following GMMs: ASK14, BSSA14, and CB14. At rupture distances larger than 100 km, both the Bea24 and CY14 directivity models have no effect. Calculate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sidRPr="00695D02">
        <w:rPr>
          <w:rFonts w:eastAsiaTheme="minorEastAsia"/>
          <w:szCs w:val="22"/>
        </w:rPr>
        <w:t xml:space="preserve"> and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t xml:space="preserve"> for these earthquakes and recording locations. Note that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sidRPr="00695D02">
        <w:rPr>
          <w:rFonts w:eastAsiaTheme="minorEastAsia"/>
          <w:szCs w:val="22"/>
        </w:rPr>
        <w:t xml:space="preserve"> and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t xml:space="preserve"> are unrelated to GMM residuals. These depend only on the DM and the parameters describing the earthquake sources (rupture geometry, magnitude, hypocenter location) and stations (rupture distance and location of the station with respect to the finite-fault rupture). </w:t>
      </w:r>
    </w:p>
    <w:p w14:paraId="1E8A4D58" w14:textId="1950F5B6" w:rsidR="00935168" w:rsidRPr="00935168" w:rsidRDefault="00D90724" w:rsidP="00935168">
      <w:pPr>
        <w:pStyle w:val="ListParagraph"/>
        <w:numPr>
          <w:ilvl w:val="0"/>
          <w:numId w:val="21"/>
        </w:numPr>
        <w:spacing w:after="0"/>
        <w:jc w:val="left"/>
        <w:rPr>
          <w:rFonts w:eastAsiaTheme="minorHAnsi"/>
        </w:rPr>
      </w:pPr>
      <w:r>
        <w:lastRenderedPageBreak/>
        <w:t xml:space="preserve">For each earthquake listed in Table </w:t>
      </w:r>
      <w:r w:rsidR="00935168">
        <w:t>B</w:t>
      </w:r>
      <w:r>
        <w:t xml:space="preserve">-1, calculate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sidRPr="00695D02">
        <w:rPr>
          <w:rFonts w:eastAsiaTheme="minorEastAsia"/>
          <w:szCs w:val="22"/>
        </w:rPr>
        <w:t xml:space="preserve"> </w:t>
      </w:r>
      <w:r>
        <w:rPr>
          <w:rFonts w:eastAsiaTheme="minorEastAsia"/>
          <w:szCs w:val="22"/>
        </w:rPr>
        <w:t>on a densely sampled grid of station locations (0.5 km grid spacing).</w:t>
      </w:r>
      <w:r>
        <w:t xml:space="preserve"> Figure </w:t>
      </w:r>
      <w:r w:rsidR="00935168">
        <w:t>B-1</w:t>
      </w:r>
      <w:r>
        <w:t xml:space="preserve"> shows a map of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sidRPr="00695D02">
        <w:rPr>
          <w:rFonts w:eastAsiaTheme="minorEastAsia"/>
          <w:szCs w:val="22"/>
        </w:rPr>
        <w:t xml:space="preserve"> at T=3 sec for the Landers earthquake at </w:t>
      </w:r>
      <w:r>
        <w:rPr>
          <w:rFonts w:eastAsiaTheme="minorEastAsia"/>
          <w:szCs w:val="22"/>
        </w:rPr>
        <w:t>the dense grid of stations</w:t>
      </w:r>
      <w:r w:rsidRPr="00695D02">
        <w:rPr>
          <w:rFonts w:eastAsiaTheme="minorEastAsia"/>
          <w:szCs w:val="22"/>
        </w:rPr>
        <w:t xml:space="preserve"> (contours</w:t>
      </w:r>
      <w:r>
        <w:rPr>
          <w:rFonts w:eastAsiaTheme="minorEastAsia"/>
          <w:szCs w:val="22"/>
        </w:rPr>
        <w:t>; step 2</w:t>
      </w:r>
      <w:r w:rsidRPr="00695D02">
        <w:rPr>
          <w:rFonts w:eastAsiaTheme="minorEastAsia"/>
          <w:szCs w:val="22"/>
        </w:rPr>
        <w:t xml:space="preserve">) and at the </w:t>
      </w:r>
      <w:r>
        <w:rPr>
          <w:rFonts w:eastAsiaTheme="minorEastAsia"/>
          <w:szCs w:val="22"/>
        </w:rPr>
        <w:t>recording stations</w:t>
      </w:r>
      <w:r w:rsidRPr="00695D02">
        <w:rPr>
          <w:rFonts w:eastAsiaTheme="minorEastAsia"/>
          <w:szCs w:val="22"/>
        </w:rPr>
        <w:t xml:space="preserve"> (circles</w:t>
      </w:r>
      <w:r>
        <w:rPr>
          <w:rFonts w:eastAsiaTheme="minorEastAsia"/>
          <w:szCs w:val="22"/>
        </w:rPr>
        <w:t>; step 1</w:t>
      </w:r>
      <w:r w:rsidRPr="00695D02">
        <w:rPr>
          <w:rFonts w:eastAsiaTheme="minorEastAsia"/>
          <w:szCs w:val="22"/>
        </w:rPr>
        <w:t>).</w:t>
      </w:r>
    </w:p>
    <w:p w14:paraId="5610D748" w14:textId="6256CCCD" w:rsidR="00935168" w:rsidRDefault="00935168" w:rsidP="00935168">
      <w:pPr>
        <w:pStyle w:val="ListParagraph"/>
        <w:numPr>
          <w:ilvl w:val="0"/>
          <w:numId w:val="21"/>
        </w:numPr>
        <w:spacing w:after="0"/>
        <w:jc w:val="left"/>
      </w:pPr>
      <w:r>
        <w:t xml:space="preserve">For each earthquake listed in Table B-1, group the NGA-W2 recording stations into rupture distance bins and calculate the sample mean of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Pr>
          <w:rFonts w:eastAsiaTheme="minorEastAsia"/>
          <w:szCs w:val="22"/>
        </w:rPr>
        <w:t xml:space="preserve"> and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t xml:space="preserve">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t xml:space="preserve"> 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e>
        </m:acc>
      </m:oMath>
      <w:r>
        <w:t>) and sample standard deviations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t xml:space="preserve"> and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fDPP</m:t>
            </m:r>
          </m:sub>
        </m:sSub>
      </m:oMath>
      <w:r>
        <w:t xml:space="preserve">) within each bin. Table B-1 lists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t xml:space="preserve"> 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e>
        </m:acc>
      </m:oMath>
      <w:r>
        <w:t xml:space="preserve">  for each earthquake and for two distance bins: </w:t>
      </w:r>
      <w:proofErr w:type="spellStart"/>
      <w:r w:rsidRPr="007A7194">
        <w:t>R</w:t>
      </w:r>
      <w:r w:rsidRPr="007A7194">
        <w:rPr>
          <w:rFonts w:cs="Times New Roman (Body CS)"/>
          <w:vertAlign w:val="subscript"/>
        </w:rPr>
        <w:t>rup</w:t>
      </w:r>
      <w:proofErr w:type="spellEnd"/>
      <w:r w:rsidRPr="007A7194">
        <w:t xml:space="preserve"> </w:t>
      </w:r>
      <w:r>
        <w:t xml:space="preserve">less than 20 km and </w:t>
      </w:r>
      <w:proofErr w:type="spellStart"/>
      <w:r w:rsidRPr="007A7194">
        <w:t>R</w:t>
      </w:r>
      <w:r w:rsidRPr="007A7194">
        <w:rPr>
          <w:rFonts w:cs="Times New Roman (Body CS)"/>
          <w:vertAlign w:val="subscript"/>
        </w:rPr>
        <w:t>rup</w:t>
      </w:r>
      <w:proofErr w:type="spellEnd"/>
      <w:r w:rsidRPr="007A7194">
        <w:t xml:space="preserve"> </w:t>
      </w:r>
      <w:r>
        <w:t>less than 40 km. Evaluate the neutrality of the directivity condition for individual earthquakes.</w:t>
      </w:r>
    </w:p>
    <w:p w14:paraId="5F50F56B" w14:textId="1376F157" w:rsidR="00935168" w:rsidRPr="00935168" w:rsidRDefault="00935168" w:rsidP="00935168">
      <w:pPr>
        <w:pStyle w:val="ListParagraph"/>
        <w:numPr>
          <w:ilvl w:val="0"/>
          <w:numId w:val="21"/>
        </w:numPr>
        <w:spacing w:after="0"/>
        <w:jc w:val="left"/>
        <w:rPr>
          <w:rFonts w:eastAsiaTheme="minorHAnsi"/>
        </w:rPr>
      </w:pPr>
      <w:r>
        <w:t>For the complete set of earthquakes listed in Table B-1, group the gridded stations into rupture distance bins and calculate the population standard deviations (</w:t>
      </w:r>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fD</m:t>
            </m:r>
          </m:sub>
        </m:sSub>
      </m:oMath>
      <w:r>
        <w:t xml:space="preserve">) within each bin. The population mean of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Pr>
          <w:rFonts w:eastAsiaTheme="minorEastAsia"/>
          <w:szCs w:val="22"/>
        </w:rPr>
        <w:t xml:space="preserve"> is equal to zero for the gridded stations because the Bea24 model is centered.</w:t>
      </w:r>
    </w:p>
    <w:p w14:paraId="3FE4061A" w14:textId="77777777" w:rsidR="00935168" w:rsidRPr="00493364" w:rsidRDefault="00935168" w:rsidP="00935168">
      <w:pPr>
        <w:pStyle w:val="ListParagraph"/>
        <w:numPr>
          <w:ilvl w:val="0"/>
          <w:numId w:val="21"/>
        </w:numPr>
      </w:pPr>
      <w:r>
        <w:t xml:space="preserve">Evaluate the neutrality of the directivity condition for the NGA-W2 recordings. For a given rupture distance bin, a completely neutral directivity condition will have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sidRPr="00AB12E6">
        <w:rPr>
          <w:rFonts w:eastAsiaTheme="minorEastAsia"/>
          <w:szCs w:val="22"/>
        </w:rPr>
        <w:t xml:space="preserve"> </w:t>
      </w:r>
      <w:r>
        <w:t xml:space="preserve">equal to zero and will have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t xml:space="preserve"> equal to </w:t>
      </w:r>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fD</m:t>
            </m:r>
          </m:sub>
        </m:sSub>
      </m:oMath>
      <w:r>
        <w:t xml:space="preserve">. This procedure is repeated for different spectral periods (T). </w:t>
      </w:r>
    </w:p>
    <w:p w14:paraId="72E65D25" w14:textId="77777777" w:rsidR="00D90724" w:rsidRDefault="00D90724" w:rsidP="00D90724">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D90724" w14:paraId="5E84CA41" w14:textId="77777777" w:rsidTr="009E2243">
        <w:trPr>
          <w:trHeight w:val="3797"/>
        </w:trPr>
        <w:tc>
          <w:tcPr>
            <w:tcW w:w="9350" w:type="dxa"/>
            <w:vAlign w:val="center"/>
          </w:tcPr>
          <w:p w14:paraId="0A9057CB" w14:textId="77777777" w:rsidR="00D90724" w:rsidRDefault="00D90724" w:rsidP="00A317A0">
            <w:pPr>
              <w:spacing w:after="0"/>
              <w:ind w:firstLine="0"/>
              <w:jc w:val="center"/>
            </w:pPr>
            <w:r>
              <w:rPr>
                <w:noProof/>
              </w:rPr>
              <w:drawing>
                <wp:inline distT="0" distB="0" distL="0" distR="0" wp14:anchorId="32EFD411" wp14:editId="11845218">
                  <wp:extent cx="3786919" cy="3073940"/>
                  <wp:effectExtent l="0" t="0" r="0" b="0"/>
                  <wp:docPr id="913326151" name="Picture 1"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6151" name="Picture 1" descr="A comparison of a diagram&#10;&#10;Description automatically generated with medium confidence"/>
                          <pic:cNvPicPr/>
                        </pic:nvPicPr>
                        <pic:blipFill rotWithShape="1">
                          <a:blip r:embed="rId12"/>
                          <a:srcRect l="51709"/>
                          <a:stretch/>
                        </pic:blipFill>
                        <pic:spPr bwMode="auto">
                          <a:xfrm>
                            <a:off x="0" y="0"/>
                            <a:ext cx="3869872" cy="3141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0D28DE" w14:textId="4E9D8695" w:rsidR="00D90724" w:rsidRPr="00493364" w:rsidRDefault="00D90724" w:rsidP="00935168">
      <w:pPr>
        <w:pStyle w:val="Caption"/>
      </w:pPr>
      <w:r w:rsidRPr="00006FF4">
        <w:rPr>
          <w:b/>
          <w:bCs/>
        </w:rPr>
        <w:lastRenderedPageBreak/>
        <w:t xml:space="preserve">Figure </w:t>
      </w:r>
      <w:r w:rsidR="00935168" w:rsidRPr="00006FF4">
        <w:rPr>
          <w:b/>
          <w:bCs/>
        </w:rPr>
        <w:t>B1</w:t>
      </w:r>
      <w:r w:rsidRPr="00006FF4">
        <w:rPr>
          <w:b/>
          <w:bCs/>
        </w:rPr>
        <w:t>.</w:t>
      </w:r>
      <w:r>
        <w:t xml:space="preserve"> A map of </w:t>
      </w:r>
      <w:r>
        <w:rPr>
          <w:rFonts w:eastAsiaTheme="minorEastAsia"/>
          <w:szCs w:val="22"/>
        </w:rPr>
        <w:t xml:space="preserve">the Landers earthquake showing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rPr>
          <w:rFonts w:eastAsiaTheme="minorEastAsia"/>
          <w:szCs w:val="22"/>
        </w:rPr>
        <w:t xml:space="preserve"> at T=3 sec for at all locations (contours), at the locations with ground-motion recordings (circles), the </w:t>
      </w:r>
      <w:r>
        <w:t>fault trace (black), and hypocenter (star).</w:t>
      </w:r>
      <w:r w:rsidR="00AE018B">
        <w:br/>
      </w:r>
    </w:p>
    <w:p w14:paraId="0CE598A1" w14:textId="77777777" w:rsidR="00D90724" w:rsidRPr="00D3677F" w:rsidRDefault="00D90724" w:rsidP="00DE1E2B">
      <w:pPr>
        <w:ind w:firstLine="0"/>
        <w:rPr>
          <w:b/>
          <w:bCs/>
        </w:rPr>
      </w:pPr>
      <w:r w:rsidRPr="00D3677F">
        <w:rPr>
          <w:b/>
          <w:bCs/>
        </w:rPr>
        <w:t>Evaluation of Individual Earthquakes</w:t>
      </w:r>
    </w:p>
    <w:p w14:paraId="5F1D1301" w14:textId="631A1F24" w:rsidR="00D90724" w:rsidRDefault="00D90724" w:rsidP="00D90724">
      <w:pPr>
        <w:rPr>
          <w:rFonts w:eastAsiaTheme="minorEastAsia"/>
          <w:szCs w:val="22"/>
        </w:rPr>
      </w:pPr>
      <w:r>
        <w:t xml:space="preserve">The values presented here, including Table </w:t>
      </w:r>
      <w:r w:rsidR="00935168">
        <w:t>B</w:t>
      </w:r>
      <w:r>
        <w:t xml:space="preserve">-1, are for T=3 seconds. The Landers earthquake (Figure </w:t>
      </w:r>
      <w:r w:rsidR="00935168">
        <w:t>B1</w:t>
      </w:r>
      <w:r>
        <w:t xml:space="preserve">) has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-0.018 from four stations within 20 km, 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-0.045 from 13 stations within 40 km. These values represent an approximately neutral directivity condition, as expected because of the good azimuthal coverage of the recording stations. Of the 22 events, 14 have </w:t>
      </w:r>
      <m:oMath>
        <m:d>
          <m:dPr>
            <m:begChr m:val="|"/>
            <m:endChr m:val="|"/>
            <m:ctrlPr>
              <w:rPr>
                <w:rFonts w:ascii="Cambria Math" w:eastAsiaTheme="minorEastAsia" w:hAnsi="Cambria Math" w:cstheme="minorBidi"/>
                <w:i/>
                <w:color w:val="000000" w:themeColor="text1"/>
                <w:szCs w:val="22"/>
              </w:rPr>
            </m:ctrlPr>
          </m:dPr>
          <m:e>
            <m:r>
              <w:rPr>
                <w:rFonts w:ascii="Cambria Math" w:eastAsiaTheme="minorEastAsia" w:hAnsi="Cambria Math"/>
                <w:szCs w:val="22"/>
              </w:rPr>
              <m:t xml:space="preserve"> </m:t>
            </m:r>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r>
              <w:rPr>
                <w:rFonts w:ascii="Cambria Math" w:hAnsi="Cambria Math"/>
                <w:szCs w:val="22"/>
              </w:rPr>
              <m:t xml:space="preserve"> </m:t>
            </m:r>
          </m:e>
        </m:d>
      </m:oMath>
      <w:r>
        <w:rPr>
          <w:rFonts w:eastAsiaTheme="minorEastAsia"/>
          <w:szCs w:val="22"/>
        </w:rPr>
        <w:t xml:space="preserve"> &lt; 0.1, representing less than about 10% difference from a neutral mean directivity condition for their respective recording station locations.  </w:t>
      </w:r>
    </w:p>
    <w:p w14:paraId="796F083E" w14:textId="0142766B" w:rsidR="00D90724" w:rsidRDefault="00D90724" w:rsidP="00D90724">
      <w:pPr>
        <w:rPr>
          <w:rFonts w:eastAsiaTheme="minorEastAsia"/>
          <w:szCs w:val="22"/>
        </w:rPr>
      </w:pPr>
      <w:r>
        <w:rPr>
          <w:rFonts w:eastAsiaTheme="minorEastAsia"/>
          <w:szCs w:val="22"/>
        </w:rPr>
        <w:t xml:space="preserve">The Morgan Hill </w:t>
      </w:r>
      <w:proofErr w:type="gramStart"/>
      <w:r>
        <w:rPr>
          <w:rFonts w:eastAsiaTheme="minorEastAsia"/>
          <w:szCs w:val="22"/>
        </w:rPr>
        <w:t>earthquake  has</w:t>
      </w:r>
      <w:proofErr w:type="gramEnd"/>
      <w:r>
        <w:rPr>
          <w:rFonts w:eastAsiaTheme="minorEastAsia"/>
          <w:szCs w:val="22"/>
        </w:rPr>
        <w:t xml:space="preserve">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0.247 from 17 stations within 40 km, representing a strong </w:t>
      </w:r>
      <w:r>
        <w:t xml:space="preserve">forward-directivity bias. The 2010 Darfield and </w:t>
      </w:r>
      <w:r w:rsidRPr="009C4B7C">
        <w:t xml:space="preserve">1999 </w:t>
      </w:r>
      <w:proofErr w:type="spellStart"/>
      <w:r w:rsidRPr="009C4B7C">
        <w:t>Duzce</w:t>
      </w:r>
      <w:proofErr w:type="spellEnd"/>
      <w:r w:rsidRPr="009C4B7C">
        <w:t xml:space="preserve"> </w:t>
      </w:r>
      <w:r>
        <w:t xml:space="preserve">earthquakes were relatively well-recorded </w:t>
      </w:r>
      <w:proofErr w:type="gramStart"/>
      <w:r>
        <w:t>and also</w:t>
      </w:r>
      <w:proofErr w:type="gramEnd"/>
      <w:r>
        <w:t xml:space="preserve"> have strong forward directivity biases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0.237 and 0.185, respectively) for stations within 40 km. The value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0.247 represents a 28% difference from a neutral mean directivity condition. The Manjiil earthquake has the strongest forward directivity bias; however, this is determined from a single available recording station within 40 km.</w:t>
      </w:r>
    </w:p>
    <w:p w14:paraId="339C2E88" w14:textId="0CA4FFF6" w:rsidR="00D90724" w:rsidRPr="002354C5" w:rsidRDefault="00D90724" w:rsidP="00D90724">
      <w:pPr>
        <w:rPr>
          <w:rFonts w:eastAsiaTheme="minorEastAsia"/>
          <w:szCs w:val="22"/>
        </w:rPr>
      </w:pPr>
      <w:r>
        <w:t xml:space="preserve">The Parkfield and Wenchuan earthquakes have the strongest backward-directivity biases of the events listed in Table </w:t>
      </w:r>
      <w:r w:rsidR="00935168">
        <w:t>B</w:t>
      </w:r>
      <w:r>
        <w:t xml:space="preserve">1 with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-0.045 and -0.046 for stations within 40 km, respectively. These backward-directivity</w:t>
      </w:r>
      <w:r>
        <w:t xml:space="preserve"> biases, at only a few percent different from neutral, are weaker than the strongest forward-directivity cases (Morgan Hill, Darfield, and </w:t>
      </w:r>
      <w:proofErr w:type="spellStart"/>
      <w:r>
        <w:t>Duzce</w:t>
      </w:r>
      <w:proofErr w:type="spellEnd"/>
      <w:r>
        <w:t xml:space="preserve">). This is reflected in the mean of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from all 22 earthquakes, giving equal weight to each earthquake, which is 0.092 (9.6%) for stations within 20 km and 0.076 (7.9%) for stations within 40 km.</w:t>
      </w:r>
    </w:p>
    <w:p w14:paraId="084D68E9" w14:textId="6EAD3F6E" w:rsidR="00D90724" w:rsidRDefault="00D90724" w:rsidP="00D90724">
      <w:pPr>
        <w:pStyle w:val="Caption"/>
        <w:keepNext/>
      </w:pPr>
      <w:r w:rsidRPr="00006FF4">
        <w:rPr>
          <w:b/>
          <w:bCs/>
        </w:rPr>
        <w:t xml:space="preserve">Table </w:t>
      </w:r>
      <w:r w:rsidR="00AE018B" w:rsidRPr="00006FF4">
        <w:rPr>
          <w:b/>
          <w:bCs/>
        </w:rPr>
        <w:t>B</w:t>
      </w:r>
      <w:r w:rsidR="00006FF4" w:rsidRPr="00006FF4">
        <w:rPr>
          <w:b/>
          <w:bCs/>
        </w:rPr>
        <w:t>1</w:t>
      </w:r>
      <w:r w:rsidRPr="00006FF4">
        <w:rPr>
          <w:b/>
          <w:bCs/>
        </w:rPr>
        <w:t>.</w:t>
      </w:r>
      <w:r>
        <w:t xml:space="preserve"> Evaluation</w:t>
      </w:r>
      <w:r w:rsidRPr="0027668C">
        <w:t xml:space="preserve"> </w:t>
      </w:r>
      <w:r>
        <w:t xml:space="preserve">the neutrality of the directivity condition of three NGA-W2 GMMs, T=3 sec. </w:t>
      </w:r>
    </w:p>
    <w:tbl>
      <w:tblPr>
        <w:tblW w:w="8905" w:type="dxa"/>
        <w:jc w:val="center"/>
        <w:tblLook w:val="04A0" w:firstRow="1" w:lastRow="0" w:firstColumn="1" w:lastColumn="0" w:noHBand="0" w:noVBand="1"/>
      </w:tblPr>
      <w:tblGrid>
        <w:gridCol w:w="2460"/>
        <w:gridCol w:w="865"/>
        <w:gridCol w:w="990"/>
        <w:gridCol w:w="1170"/>
        <w:gridCol w:w="1080"/>
        <w:gridCol w:w="1170"/>
        <w:gridCol w:w="1170"/>
      </w:tblGrid>
      <w:tr w:rsidR="00D90724" w:rsidRPr="002510EF" w14:paraId="70EB08E4" w14:textId="77777777" w:rsidTr="009E2243">
        <w:trPr>
          <w:trHeight w:val="10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E67C5" w14:textId="77777777" w:rsidR="00D90724" w:rsidRPr="002510EF" w:rsidRDefault="00D90724" w:rsidP="00A317A0">
            <w:pPr>
              <w:spacing w:after="0" w:line="240" w:lineRule="auto"/>
              <w:ind w:firstLine="0"/>
              <w:jc w:val="center"/>
              <w:rPr>
                <w:rFonts w:ascii="Arial" w:hAnsi="Arial" w:cs="Arial"/>
                <w:b/>
                <w:bCs/>
                <w:color w:val="000000"/>
                <w:sz w:val="18"/>
                <w:szCs w:val="18"/>
              </w:rPr>
            </w:pPr>
            <w:r w:rsidRPr="002510EF">
              <w:rPr>
                <w:rFonts w:ascii="Arial" w:hAnsi="Arial" w:cs="Arial"/>
                <w:b/>
                <w:bCs/>
                <w:color w:val="000000"/>
                <w:sz w:val="18"/>
                <w:szCs w:val="18"/>
              </w:rPr>
              <w:t>Earthquake Name</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4F9FC216" w14:textId="77777777" w:rsidR="00D90724" w:rsidRPr="002510EF" w:rsidRDefault="00D90724" w:rsidP="00A317A0">
            <w:pPr>
              <w:spacing w:after="0" w:line="240" w:lineRule="auto"/>
              <w:ind w:firstLine="0"/>
              <w:jc w:val="center"/>
              <w:rPr>
                <w:rFonts w:ascii="Arial" w:hAnsi="Arial" w:cs="Arial"/>
                <w:b/>
                <w:bCs/>
                <w:color w:val="000000"/>
                <w:sz w:val="18"/>
                <w:szCs w:val="18"/>
              </w:rPr>
            </w:pPr>
            <w:r w:rsidRPr="002510EF">
              <w:rPr>
                <w:rFonts w:ascii="Arial" w:hAnsi="Arial" w:cs="Arial"/>
                <w:b/>
                <w:bCs/>
                <w:color w:val="000000"/>
                <w:sz w:val="18"/>
                <w:szCs w:val="18"/>
              </w:rPr>
              <w:t>M</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EE5B7CF" w14:textId="77777777" w:rsidR="00D90724" w:rsidRPr="002510EF" w:rsidRDefault="00D90724" w:rsidP="00A317A0">
            <w:pPr>
              <w:spacing w:after="0" w:line="240" w:lineRule="auto"/>
              <w:ind w:firstLine="0"/>
              <w:jc w:val="center"/>
              <w:rPr>
                <w:rFonts w:ascii="Arial" w:hAnsi="Arial" w:cs="Arial"/>
                <w:b/>
                <w:bCs/>
                <w:color w:val="000000"/>
                <w:sz w:val="18"/>
                <w:szCs w:val="18"/>
              </w:rPr>
            </w:pPr>
            <w:r w:rsidRPr="002510EF">
              <w:rPr>
                <w:rFonts w:ascii="Arial" w:hAnsi="Arial" w:cs="Arial"/>
                <w:b/>
                <w:bCs/>
                <w:color w:val="000000"/>
                <w:sz w:val="18"/>
                <w:szCs w:val="18"/>
              </w:rPr>
              <w:t>NGA-W2 EQID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DC956AB" w14:textId="77777777" w:rsidR="00D90724" w:rsidRPr="002510EF" w:rsidRDefault="00D90724" w:rsidP="00A317A0">
            <w:pPr>
              <w:spacing w:after="0" w:line="240" w:lineRule="auto"/>
              <w:ind w:firstLine="0"/>
              <w:jc w:val="center"/>
              <w:rPr>
                <w:rFonts w:ascii="Arial" w:hAnsi="Arial" w:cs="Arial"/>
                <w:b/>
                <w:bCs/>
                <w:color w:val="000000"/>
                <w:sz w:val="18"/>
                <w:szCs w:val="18"/>
              </w:rPr>
            </w:pPr>
            <w:r w:rsidRPr="002510EF">
              <w:rPr>
                <w:rFonts w:ascii="Arial" w:hAnsi="Arial" w:cs="Arial"/>
                <w:b/>
                <w:bCs/>
                <w:color w:val="000000"/>
                <w:sz w:val="18"/>
                <w:szCs w:val="18"/>
              </w:rPr>
              <w:t xml:space="preserve">No. of recordings with </w:t>
            </w:r>
            <w:proofErr w:type="spellStart"/>
            <w:r w:rsidRPr="002510EF">
              <w:rPr>
                <w:rFonts w:ascii="Arial" w:hAnsi="Arial" w:cs="Arial"/>
                <w:b/>
                <w:bCs/>
                <w:color w:val="000000"/>
                <w:sz w:val="18"/>
                <w:szCs w:val="18"/>
              </w:rPr>
              <w:t>R</w:t>
            </w:r>
            <w:r w:rsidRPr="002510EF">
              <w:rPr>
                <w:rFonts w:ascii="Arial" w:hAnsi="Arial" w:cs="Arial"/>
                <w:b/>
                <w:bCs/>
                <w:color w:val="000000"/>
                <w:sz w:val="18"/>
                <w:szCs w:val="18"/>
                <w:vertAlign w:val="subscript"/>
              </w:rPr>
              <w:t>rup</w:t>
            </w:r>
            <w:proofErr w:type="spellEnd"/>
            <w:r w:rsidRPr="002510EF">
              <w:rPr>
                <w:rFonts w:ascii="Arial" w:hAnsi="Arial" w:cs="Arial"/>
                <w:b/>
                <w:bCs/>
                <w:color w:val="000000"/>
                <w:sz w:val="18"/>
                <w:szCs w:val="18"/>
              </w:rPr>
              <w:t xml:space="preserve"> &lt; 20 km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00EA921" w14:textId="77777777" w:rsidR="00D90724" w:rsidRPr="002510EF" w:rsidRDefault="00000000" w:rsidP="00A317A0">
            <w:pPr>
              <w:spacing w:after="0" w:line="240" w:lineRule="auto"/>
              <w:ind w:firstLine="0"/>
              <w:jc w:val="center"/>
              <w:rPr>
                <w:rFonts w:ascii="Arial" w:hAnsi="Arial" w:cs="Arial"/>
                <w:b/>
                <w:bCs/>
                <w:color w:val="000000"/>
                <w:sz w:val="18"/>
                <w:szCs w:val="18"/>
              </w:rPr>
            </w:pPr>
            <m:oMathPara>
              <m:oMath>
                <m:acc>
                  <m:accPr>
                    <m:chr m:val="̅"/>
                    <m:ctrlPr>
                      <w:rPr>
                        <w:rFonts w:ascii="Cambria Math" w:hAnsi="Cambria Math" w:cs="Arial"/>
                        <w:i/>
                        <w:color w:val="000000"/>
                        <w:sz w:val="18"/>
                        <w:szCs w:val="18"/>
                      </w:rPr>
                    </m:ctrlPr>
                  </m:accPr>
                  <m:e>
                    <m:sSub>
                      <m:sSubPr>
                        <m:ctrlPr>
                          <w:rPr>
                            <w:rFonts w:ascii="Cambria Math" w:hAnsi="Cambria Math" w:cs="Arial"/>
                            <w:i/>
                            <w:color w:val="000000"/>
                            <w:sz w:val="18"/>
                            <w:szCs w:val="18"/>
                          </w:rPr>
                        </m:ctrlPr>
                      </m:sSubPr>
                      <m:e>
                        <m:r>
                          <m:rPr>
                            <m:sty m:val="bi"/>
                          </m:rPr>
                          <w:rPr>
                            <w:rFonts w:ascii="Cambria Math" w:hAnsi="Cambria Math" w:cs="Arial"/>
                            <w:color w:val="000000"/>
                            <w:sz w:val="18"/>
                            <w:szCs w:val="18"/>
                          </w:rPr>
                          <m:t>f</m:t>
                        </m:r>
                      </m:e>
                      <m:sub>
                        <m:r>
                          <m:rPr>
                            <m:sty m:val="bi"/>
                          </m:rPr>
                          <w:rPr>
                            <w:rFonts w:ascii="Cambria Math" w:hAnsi="Cambria Math" w:cs="Arial"/>
                            <w:color w:val="000000"/>
                            <w:sz w:val="18"/>
                            <w:szCs w:val="18"/>
                          </w:rPr>
                          <m:t>D</m:t>
                        </m:r>
                      </m:sub>
                    </m:sSub>
                  </m:e>
                </m:acc>
                <m:r>
                  <m:rPr>
                    <m:sty m:val="p"/>
                  </m:rPr>
                  <w:rPr>
                    <w:rFonts w:ascii="Cambria Math" w:hAnsi="Cambria Math" w:cs="Arial"/>
                    <w:color w:val="000000"/>
                    <w:sz w:val="18"/>
                    <w:szCs w:val="18"/>
                  </w:rPr>
                  <w:br/>
                </m:r>
              </m:oMath>
            </m:oMathPara>
            <w:r w:rsidR="00D90724" w:rsidRPr="00335A5F">
              <w:rPr>
                <w:rFonts w:ascii="Arial" w:hAnsi="Arial" w:cs="Arial"/>
                <w:b/>
                <w:bCs/>
                <w:color w:val="000000"/>
                <w:sz w:val="18"/>
                <w:szCs w:val="18"/>
              </w:rPr>
              <w:t>R &lt; 20 km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D7B03A5" w14:textId="77777777" w:rsidR="00D90724" w:rsidRPr="002510EF" w:rsidRDefault="00D90724" w:rsidP="00A317A0">
            <w:pPr>
              <w:spacing w:after="0" w:line="240" w:lineRule="auto"/>
              <w:ind w:firstLine="0"/>
              <w:jc w:val="center"/>
              <w:rPr>
                <w:rFonts w:ascii="Arial" w:hAnsi="Arial" w:cs="Arial"/>
                <w:b/>
                <w:bCs/>
                <w:color w:val="000000"/>
                <w:sz w:val="18"/>
                <w:szCs w:val="18"/>
              </w:rPr>
            </w:pPr>
            <w:r w:rsidRPr="00335A5F">
              <w:rPr>
                <w:rFonts w:ascii="Arial" w:hAnsi="Arial" w:cs="Arial"/>
                <w:b/>
                <w:bCs/>
                <w:color w:val="000000"/>
                <w:sz w:val="18"/>
                <w:szCs w:val="18"/>
              </w:rPr>
              <w:t xml:space="preserve">No. of recordings with </w:t>
            </w:r>
            <w:proofErr w:type="spellStart"/>
            <w:r w:rsidRPr="00335A5F">
              <w:rPr>
                <w:rFonts w:ascii="Arial" w:hAnsi="Arial" w:cs="Arial"/>
                <w:b/>
                <w:bCs/>
                <w:color w:val="000000"/>
                <w:sz w:val="18"/>
                <w:szCs w:val="18"/>
              </w:rPr>
              <w:t>R</w:t>
            </w:r>
            <w:r w:rsidRPr="00335A5F">
              <w:rPr>
                <w:rFonts w:ascii="Arial" w:hAnsi="Arial" w:cs="Arial"/>
                <w:b/>
                <w:bCs/>
                <w:color w:val="000000"/>
                <w:sz w:val="18"/>
                <w:szCs w:val="18"/>
                <w:vertAlign w:val="subscript"/>
              </w:rPr>
              <w:t>rup</w:t>
            </w:r>
            <w:proofErr w:type="spellEnd"/>
            <w:r w:rsidRPr="00335A5F">
              <w:rPr>
                <w:rFonts w:ascii="Arial" w:hAnsi="Arial" w:cs="Arial"/>
                <w:b/>
                <w:bCs/>
                <w:color w:val="000000"/>
                <w:sz w:val="18"/>
                <w:szCs w:val="18"/>
              </w:rPr>
              <w:t xml:space="preserve"> &lt; 40 km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347B4AD" w14:textId="77777777" w:rsidR="00D90724" w:rsidRPr="002510EF" w:rsidRDefault="00000000" w:rsidP="00A317A0">
            <w:pPr>
              <w:spacing w:after="0" w:line="240" w:lineRule="auto"/>
              <w:ind w:firstLine="0"/>
              <w:jc w:val="center"/>
              <w:rPr>
                <w:rFonts w:ascii="Arial" w:hAnsi="Arial" w:cs="Arial"/>
                <w:b/>
                <w:bCs/>
                <w:color w:val="000000"/>
                <w:sz w:val="18"/>
                <w:szCs w:val="18"/>
              </w:rPr>
            </w:pPr>
            <m:oMathPara>
              <m:oMath>
                <m:acc>
                  <m:accPr>
                    <m:chr m:val="̅"/>
                    <m:ctrlPr>
                      <w:rPr>
                        <w:rFonts w:ascii="Cambria Math" w:hAnsi="Cambria Math" w:cs="Arial"/>
                        <w:i/>
                        <w:color w:val="000000"/>
                        <w:sz w:val="18"/>
                        <w:szCs w:val="18"/>
                      </w:rPr>
                    </m:ctrlPr>
                  </m:accPr>
                  <m:e>
                    <m:sSub>
                      <m:sSubPr>
                        <m:ctrlPr>
                          <w:rPr>
                            <w:rFonts w:ascii="Cambria Math" w:hAnsi="Cambria Math" w:cs="Arial"/>
                            <w:i/>
                            <w:color w:val="000000"/>
                            <w:sz w:val="18"/>
                            <w:szCs w:val="18"/>
                          </w:rPr>
                        </m:ctrlPr>
                      </m:sSubPr>
                      <m:e>
                        <m:r>
                          <m:rPr>
                            <m:sty m:val="bi"/>
                          </m:rPr>
                          <w:rPr>
                            <w:rFonts w:ascii="Cambria Math" w:hAnsi="Cambria Math" w:cs="Arial"/>
                            <w:color w:val="000000"/>
                            <w:sz w:val="18"/>
                            <w:szCs w:val="18"/>
                          </w:rPr>
                          <m:t>f</m:t>
                        </m:r>
                      </m:e>
                      <m:sub>
                        <m:r>
                          <m:rPr>
                            <m:sty m:val="bi"/>
                          </m:rPr>
                          <w:rPr>
                            <w:rFonts w:ascii="Cambria Math" w:hAnsi="Cambria Math" w:cs="Arial"/>
                            <w:color w:val="000000"/>
                            <w:sz w:val="18"/>
                            <w:szCs w:val="18"/>
                          </w:rPr>
                          <m:t>D</m:t>
                        </m:r>
                      </m:sub>
                    </m:sSub>
                  </m:e>
                </m:acc>
                <m:r>
                  <m:rPr>
                    <m:sty m:val="p"/>
                  </m:rPr>
                  <w:rPr>
                    <w:rFonts w:ascii="Cambria Math" w:hAnsi="Cambria Math" w:cs="Arial"/>
                    <w:color w:val="000000"/>
                    <w:sz w:val="18"/>
                    <w:szCs w:val="18"/>
                  </w:rPr>
                  <w:br/>
                </m:r>
              </m:oMath>
            </m:oMathPara>
            <w:r w:rsidR="00D90724" w:rsidRPr="00335A5F">
              <w:rPr>
                <w:rFonts w:ascii="Arial" w:hAnsi="Arial" w:cs="Arial"/>
                <w:b/>
                <w:bCs/>
                <w:color w:val="000000"/>
                <w:sz w:val="18"/>
                <w:szCs w:val="18"/>
              </w:rPr>
              <w:t>R &lt; 40 km</w:t>
            </w:r>
          </w:p>
        </w:tc>
      </w:tr>
      <w:tr w:rsidR="00D90724" w:rsidRPr="002510EF" w14:paraId="335EB5B6"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3C10DF1"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1979 Coyote Lake</w:t>
            </w:r>
          </w:p>
        </w:tc>
        <w:tc>
          <w:tcPr>
            <w:tcW w:w="865" w:type="dxa"/>
            <w:tcBorders>
              <w:top w:val="nil"/>
              <w:left w:val="nil"/>
              <w:bottom w:val="single" w:sz="4" w:space="0" w:color="auto"/>
              <w:right w:val="single" w:sz="4" w:space="0" w:color="auto"/>
            </w:tcBorders>
            <w:shd w:val="clear" w:color="auto" w:fill="auto"/>
            <w:noWrap/>
            <w:vAlign w:val="center"/>
            <w:hideMark/>
          </w:tcPr>
          <w:p w14:paraId="20408B61"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5.74</w:t>
            </w:r>
          </w:p>
        </w:tc>
        <w:tc>
          <w:tcPr>
            <w:tcW w:w="990" w:type="dxa"/>
            <w:tcBorders>
              <w:top w:val="nil"/>
              <w:left w:val="nil"/>
              <w:bottom w:val="single" w:sz="4" w:space="0" w:color="auto"/>
              <w:right w:val="single" w:sz="4" w:space="0" w:color="auto"/>
            </w:tcBorders>
            <w:shd w:val="clear" w:color="auto" w:fill="auto"/>
            <w:noWrap/>
            <w:vAlign w:val="center"/>
            <w:hideMark/>
          </w:tcPr>
          <w:p w14:paraId="672FBDE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48</w:t>
            </w:r>
          </w:p>
        </w:tc>
        <w:tc>
          <w:tcPr>
            <w:tcW w:w="1170" w:type="dxa"/>
            <w:tcBorders>
              <w:top w:val="nil"/>
              <w:left w:val="nil"/>
              <w:bottom w:val="single" w:sz="4" w:space="0" w:color="auto"/>
              <w:right w:val="single" w:sz="4" w:space="0" w:color="auto"/>
            </w:tcBorders>
            <w:shd w:val="clear" w:color="auto" w:fill="auto"/>
            <w:vAlign w:val="center"/>
            <w:hideMark/>
          </w:tcPr>
          <w:p w14:paraId="2D94896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w:t>
            </w:r>
          </w:p>
        </w:tc>
        <w:tc>
          <w:tcPr>
            <w:tcW w:w="1080" w:type="dxa"/>
            <w:tcBorders>
              <w:top w:val="single" w:sz="4" w:space="0" w:color="auto"/>
              <w:left w:val="single" w:sz="4" w:space="0" w:color="auto"/>
              <w:bottom w:val="single" w:sz="4" w:space="0" w:color="auto"/>
              <w:right w:val="single" w:sz="4" w:space="0" w:color="auto"/>
            </w:tcBorders>
            <w:shd w:val="clear" w:color="000000" w:fill="DAE4F3"/>
            <w:vAlign w:val="center"/>
            <w:hideMark/>
          </w:tcPr>
          <w:p w14:paraId="3668096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-0.018</w:t>
            </w:r>
          </w:p>
        </w:tc>
        <w:tc>
          <w:tcPr>
            <w:tcW w:w="1170" w:type="dxa"/>
            <w:tcBorders>
              <w:top w:val="nil"/>
              <w:left w:val="nil"/>
              <w:bottom w:val="single" w:sz="4" w:space="0" w:color="auto"/>
              <w:right w:val="single" w:sz="4" w:space="0" w:color="auto"/>
            </w:tcBorders>
            <w:shd w:val="clear" w:color="auto" w:fill="auto"/>
            <w:noWrap/>
            <w:vAlign w:val="center"/>
            <w:hideMark/>
          </w:tcPr>
          <w:p w14:paraId="503CF40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9</w:t>
            </w:r>
          </w:p>
        </w:tc>
        <w:tc>
          <w:tcPr>
            <w:tcW w:w="1170" w:type="dxa"/>
            <w:tcBorders>
              <w:top w:val="single" w:sz="4" w:space="0" w:color="auto"/>
              <w:left w:val="single" w:sz="4" w:space="0" w:color="auto"/>
              <w:bottom w:val="single" w:sz="4" w:space="0" w:color="auto"/>
              <w:right w:val="single" w:sz="4" w:space="0" w:color="auto"/>
            </w:tcBorders>
            <w:shd w:val="clear" w:color="000000" w:fill="D4DFF0"/>
            <w:noWrap/>
            <w:vAlign w:val="center"/>
            <w:hideMark/>
          </w:tcPr>
          <w:p w14:paraId="4D6B95C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-0.041</w:t>
            </w:r>
          </w:p>
        </w:tc>
      </w:tr>
      <w:tr w:rsidR="00D90724" w:rsidRPr="002510EF" w14:paraId="3651C345"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36DD19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1979 Imperial Valley</w:t>
            </w:r>
          </w:p>
        </w:tc>
        <w:tc>
          <w:tcPr>
            <w:tcW w:w="865" w:type="dxa"/>
            <w:tcBorders>
              <w:top w:val="nil"/>
              <w:left w:val="nil"/>
              <w:bottom w:val="single" w:sz="4" w:space="0" w:color="auto"/>
              <w:right w:val="single" w:sz="4" w:space="0" w:color="auto"/>
            </w:tcBorders>
            <w:shd w:val="clear" w:color="auto" w:fill="auto"/>
            <w:noWrap/>
            <w:vAlign w:val="center"/>
            <w:hideMark/>
          </w:tcPr>
          <w:p w14:paraId="370EA330"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6.53</w:t>
            </w:r>
          </w:p>
        </w:tc>
        <w:tc>
          <w:tcPr>
            <w:tcW w:w="990" w:type="dxa"/>
            <w:tcBorders>
              <w:top w:val="nil"/>
              <w:left w:val="nil"/>
              <w:bottom w:val="single" w:sz="4" w:space="0" w:color="auto"/>
              <w:right w:val="single" w:sz="4" w:space="0" w:color="auto"/>
            </w:tcBorders>
            <w:shd w:val="clear" w:color="auto" w:fill="auto"/>
            <w:noWrap/>
            <w:vAlign w:val="center"/>
            <w:hideMark/>
          </w:tcPr>
          <w:p w14:paraId="479742A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50</w:t>
            </w:r>
          </w:p>
        </w:tc>
        <w:tc>
          <w:tcPr>
            <w:tcW w:w="1170" w:type="dxa"/>
            <w:tcBorders>
              <w:top w:val="nil"/>
              <w:left w:val="nil"/>
              <w:bottom w:val="single" w:sz="4" w:space="0" w:color="auto"/>
              <w:right w:val="single" w:sz="4" w:space="0" w:color="auto"/>
            </w:tcBorders>
            <w:shd w:val="clear" w:color="auto" w:fill="auto"/>
            <w:vAlign w:val="center"/>
            <w:hideMark/>
          </w:tcPr>
          <w:p w14:paraId="10E4CED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23</w:t>
            </w:r>
          </w:p>
        </w:tc>
        <w:tc>
          <w:tcPr>
            <w:tcW w:w="1080" w:type="dxa"/>
            <w:tcBorders>
              <w:top w:val="single" w:sz="4" w:space="0" w:color="auto"/>
              <w:left w:val="single" w:sz="4" w:space="0" w:color="auto"/>
              <w:bottom w:val="single" w:sz="4" w:space="0" w:color="auto"/>
              <w:right w:val="single" w:sz="4" w:space="0" w:color="auto"/>
            </w:tcBorders>
            <w:shd w:val="clear" w:color="000000" w:fill="FCF0F3"/>
            <w:vAlign w:val="center"/>
            <w:hideMark/>
          </w:tcPr>
          <w:p w14:paraId="34DF131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0.097</w:t>
            </w:r>
          </w:p>
        </w:tc>
        <w:tc>
          <w:tcPr>
            <w:tcW w:w="1170" w:type="dxa"/>
            <w:tcBorders>
              <w:top w:val="nil"/>
              <w:left w:val="nil"/>
              <w:bottom w:val="single" w:sz="4" w:space="0" w:color="auto"/>
              <w:right w:val="single" w:sz="4" w:space="0" w:color="auto"/>
            </w:tcBorders>
            <w:shd w:val="clear" w:color="auto" w:fill="auto"/>
            <w:noWrap/>
            <w:vAlign w:val="center"/>
            <w:hideMark/>
          </w:tcPr>
          <w:p w14:paraId="6CEB9000"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31</w:t>
            </w:r>
          </w:p>
        </w:tc>
        <w:tc>
          <w:tcPr>
            <w:tcW w:w="1170" w:type="dxa"/>
            <w:tcBorders>
              <w:top w:val="single" w:sz="4" w:space="0" w:color="auto"/>
              <w:left w:val="single" w:sz="4" w:space="0" w:color="auto"/>
              <w:bottom w:val="single" w:sz="4" w:space="0" w:color="auto"/>
              <w:right w:val="single" w:sz="4" w:space="0" w:color="auto"/>
            </w:tcBorders>
            <w:shd w:val="clear" w:color="000000" w:fill="FCE6E9"/>
            <w:noWrap/>
            <w:vAlign w:val="center"/>
            <w:hideMark/>
          </w:tcPr>
          <w:p w14:paraId="2400308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0.109</w:t>
            </w:r>
          </w:p>
        </w:tc>
      </w:tr>
      <w:tr w:rsidR="00D90724" w:rsidRPr="002510EF" w14:paraId="2ACA3C2C"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9BCF1F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1984 Morgan Hill</w:t>
            </w:r>
          </w:p>
        </w:tc>
        <w:tc>
          <w:tcPr>
            <w:tcW w:w="865" w:type="dxa"/>
            <w:tcBorders>
              <w:top w:val="nil"/>
              <w:left w:val="nil"/>
              <w:bottom w:val="single" w:sz="4" w:space="0" w:color="auto"/>
              <w:right w:val="single" w:sz="4" w:space="0" w:color="auto"/>
            </w:tcBorders>
            <w:shd w:val="clear" w:color="auto" w:fill="auto"/>
            <w:noWrap/>
            <w:vAlign w:val="center"/>
            <w:hideMark/>
          </w:tcPr>
          <w:p w14:paraId="609AE6D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6.19</w:t>
            </w:r>
          </w:p>
        </w:tc>
        <w:tc>
          <w:tcPr>
            <w:tcW w:w="990" w:type="dxa"/>
            <w:tcBorders>
              <w:top w:val="nil"/>
              <w:left w:val="nil"/>
              <w:bottom w:val="single" w:sz="4" w:space="0" w:color="auto"/>
              <w:right w:val="single" w:sz="4" w:space="0" w:color="auto"/>
            </w:tcBorders>
            <w:shd w:val="clear" w:color="auto" w:fill="auto"/>
            <w:noWrap/>
            <w:vAlign w:val="center"/>
            <w:hideMark/>
          </w:tcPr>
          <w:p w14:paraId="3196D82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90</w:t>
            </w:r>
          </w:p>
        </w:tc>
        <w:tc>
          <w:tcPr>
            <w:tcW w:w="1170" w:type="dxa"/>
            <w:tcBorders>
              <w:top w:val="nil"/>
              <w:left w:val="nil"/>
              <w:bottom w:val="single" w:sz="4" w:space="0" w:color="auto"/>
              <w:right w:val="single" w:sz="4" w:space="0" w:color="auto"/>
            </w:tcBorders>
            <w:shd w:val="clear" w:color="auto" w:fill="auto"/>
            <w:vAlign w:val="center"/>
            <w:hideMark/>
          </w:tcPr>
          <w:p w14:paraId="02EEB79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9</w:t>
            </w:r>
          </w:p>
        </w:tc>
        <w:tc>
          <w:tcPr>
            <w:tcW w:w="1080" w:type="dxa"/>
            <w:tcBorders>
              <w:top w:val="single" w:sz="4" w:space="0" w:color="auto"/>
              <w:left w:val="single" w:sz="4" w:space="0" w:color="auto"/>
              <w:bottom w:val="single" w:sz="4" w:space="0" w:color="auto"/>
              <w:right w:val="single" w:sz="4" w:space="0" w:color="auto"/>
            </w:tcBorders>
            <w:shd w:val="clear" w:color="000000" w:fill="F98587"/>
            <w:vAlign w:val="center"/>
            <w:hideMark/>
          </w:tcPr>
          <w:p w14:paraId="1B0605E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0.31</w:t>
            </w:r>
          </w:p>
        </w:tc>
        <w:tc>
          <w:tcPr>
            <w:tcW w:w="1170" w:type="dxa"/>
            <w:tcBorders>
              <w:top w:val="nil"/>
              <w:left w:val="nil"/>
              <w:bottom w:val="single" w:sz="4" w:space="0" w:color="auto"/>
              <w:right w:val="single" w:sz="4" w:space="0" w:color="auto"/>
            </w:tcBorders>
            <w:shd w:val="clear" w:color="auto" w:fill="auto"/>
            <w:noWrap/>
            <w:vAlign w:val="center"/>
            <w:hideMark/>
          </w:tcPr>
          <w:p w14:paraId="511C636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17</w:t>
            </w:r>
          </w:p>
        </w:tc>
        <w:tc>
          <w:tcPr>
            <w:tcW w:w="1170" w:type="dxa"/>
            <w:tcBorders>
              <w:top w:val="single" w:sz="4" w:space="0" w:color="auto"/>
              <w:left w:val="single" w:sz="4" w:space="0" w:color="auto"/>
              <w:bottom w:val="single" w:sz="4" w:space="0" w:color="auto"/>
              <w:right w:val="single" w:sz="4" w:space="0" w:color="auto"/>
            </w:tcBorders>
            <w:shd w:val="clear" w:color="000000" w:fill="FAA3A5"/>
            <w:noWrap/>
            <w:vAlign w:val="center"/>
            <w:hideMark/>
          </w:tcPr>
          <w:p w14:paraId="491E4F0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0.247</w:t>
            </w:r>
          </w:p>
        </w:tc>
      </w:tr>
      <w:tr w:rsidR="00D90724" w:rsidRPr="002510EF" w14:paraId="0817F8A8"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B73372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1986 North Palm Springs</w:t>
            </w:r>
          </w:p>
        </w:tc>
        <w:tc>
          <w:tcPr>
            <w:tcW w:w="865" w:type="dxa"/>
            <w:tcBorders>
              <w:top w:val="nil"/>
              <w:left w:val="nil"/>
              <w:bottom w:val="single" w:sz="4" w:space="0" w:color="auto"/>
              <w:right w:val="single" w:sz="4" w:space="0" w:color="auto"/>
            </w:tcBorders>
            <w:shd w:val="clear" w:color="auto" w:fill="auto"/>
            <w:noWrap/>
            <w:vAlign w:val="center"/>
            <w:hideMark/>
          </w:tcPr>
          <w:p w14:paraId="7E17C4D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6.06</w:t>
            </w:r>
          </w:p>
        </w:tc>
        <w:tc>
          <w:tcPr>
            <w:tcW w:w="990" w:type="dxa"/>
            <w:tcBorders>
              <w:top w:val="nil"/>
              <w:left w:val="nil"/>
              <w:bottom w:val="single" w:sz="4" w:space="0" w:color="auto"/>
              <w:right w:val="single" w:sz="4" w:space="0" w:color="auto"/>
            </w:tcBorders>
            <w:shd w:val="clear" w:color="auto" w:fill="auto"/>
            <w:noWrap/>
            <w:vAlign w:val="center"/>
            <w:hideMark/>
          </w:tcPr>
          <w:p w14:paraId="70E70E4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101</w:t>
            </w:r>
          </w:p>
        </w:tc>
        <w:tc>
          <w:tcPr>
            <w:tcW w:w="1170" w:type="dxa"/>
            <w:tcBorders>
              <w:top w:val="nil"/>
              <w:left w:val="nil"/>
              <w:bottom w:val="single" w:sz="4" w:space="0" w:color="auto"/>
              <w:right w:val="single" w:sz="4" w:space="0" w:color="auto"/>
            </w:tcBorders>
            <w:shd w:val="clear" w:color="auto" w:fill="auto"/>
            <w:vAlign w:val="center"/>
            <w:hideMark/>
          </w:tcPr>
          <w:p w14:paraId="6B1B66A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w:t>
            </w:r>
          </w:p>
        </w:tc>
        <w:tc>
          <w:tcPr>
            <w:tcW w:w="1080" w:type="dxa"/>
            <w:tcBorders>
              <w:top w:val="single" w:sz="4" w:space="0" w:color="auto"/>
              <w:left w:val="single" w:sz="4" w:space="0" w:color="auto"/>
              <w:bottom w:val="single" w:sz="4" w:space="0" w:color="auto"/>
              <w:right w:val="single" w:sz="4" w:space="0" w:color="auto"/>
            </w:tcBorders>
            <w:shd w:val="clear" w:color="000000" w:fill="FCFCFF"/>
            <w:vAlign w:val="center"/>
            <w:hideMark/>
          </w:tcPr>
          <w:p w14:paraId="153ECD3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0.072</w:t>
            </w:r>
          </w:p>
        </w:tc>
        <w:tc>
          <w:tcPr>
            <w:tcW w:w="1170" w:type="dxa"/>
            <w:tcBorders>
              <w:top w:val="nil"/>
              <w:left w:val="nil"/>
              <w:bottom w:val="single" w:sz="4" w:space="0" w:color="auto"/>
              <w:right w:val="single" w:sz="4" w:space="0" w:color="auto"/>
            </w:tcBorders>
            <w:shd w:val="clear" w:color="auto" w:fill="auto"/>
            <w:noWrap/>
            <w:vAlign w:val="center"/>
            <w:hideMark/>
          </w:tcPr>
          <w:p w14:paraId="2552C29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9</w:t>
            </w:r>
          </w:p>
        </w:tc>
        <w:tc>
          <w:tcPr>
            <w:tcW w:w="117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300FDD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0.063</w:t>
            </w:r>
          </w:p>
        </w:tc>
      </w:tr>
      <w:tr w:rsidR="00D90724" w:rsidRPr="002510EF" w14:paraId="7C23E2FD"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AAAF1C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1986 Chalfant Valley</w:t>
            </w:r>
          </w:p>
        </w:tc>
        <w:tc>
          <w:tcPr>
            <w:tcW w:w="865" w:type="dxa"/>
            <w:tcBorders>
              <w:top w:val="nil"/>
              <w:left w:val="nil"/>
              <w:bottom w:val="single" w:sz="4" w:space="0" w:color="auto"/>
              <w:right w:val="single" w:sz="4" w:space="0" w:color="auto"/>
            </w:tcBorders>
            <w:shd w:val="clear" w:color="auto" w:fill="auto"/>
            <w:noWrap/>
            <w:vAlign w:val="center"/>
            <w:hideMark/>
          </w:tcPr>
          <w:p w14:paraId="2B09B08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6.19</w:t>
            </w:r>
          </w:p>
        </w:tc>
        <w:tc>
          <w:tcPr>
            <w:tcW w:w="990" w:type="dxa"/>
            <w:tcBorders>
              <w:top w:val="nil"/>
              <w:left w:val="nil"/>
              <w:bottom w:val="single" w:sz="4" w:space="0" w:color="auto"/>
              <w:right w:val="single" w:sz="4" w:space="0" w:color="auto"/>
            </w:tcBorders>
            <w:shd w:val="clear" w:color="auto" w:fill="auto"/>
            <w:noWrap/>
            <w:vAlign w:val="center"/>
            <w:hideMark/>
          </w:tcPr>
          <w:p w14:paraId="2DC66AC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103</w:t>
            </w:r>
          </w:p>
        </w:tc>
        <w:tc>
          <w:tcPr>
            <w:tcW w:w="1170" w:type="dxa"/>
            <w:tcBorders>
              <w:top w:val="nil"/>
              <w:left w:val="nil"/>
              <w:bottom w:val="single" w:sz="4" w:space="0" w:color="auto"/>
              <w:right w:val="single" w:sz="4" w:space="0" w:color="auto"/>
            </w:tcBorders>
            <w:shd w:val="clear" w:color="auto" w:fill="auto"/>
            <w:vAlign w:val="center"/>
            <w:hideMark/>
          </w:tcPr>
          <w:p w14:paraId="2FFB73E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000000" w:fill="DEE7F4"/>
            <w:vAlign w:val="center"/>
            <w:hideMark/>
          </w:tcPr>
          <w:p w14:paraId="5C99C79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-0.006</w:t>
            </w:r>
          </w:p>
        </w:tc>
        <w:tc>
          <w:tcPr>
            <w:tcW w:w="1170" w:type="dxa"/>
            <w:tcBorders>
              <w:top w:val="nil"/>
              <w:left w:val="nil"/>
              <w:bottom w:val="single" w:sz="4" w:space="0" w:color="auto"/>
              <w:right w:val="single" w:sz="4" w:space="0" w:color="auto"/>
            </w:tcBorders>
            <w:shd w:val="clear" w:color="auto" w:fill="auto"/>
            <w:noWrap/>
            <w:vAlign w:val="center"/>
            <w:hideMark/>
          </w:tcPr>
          <w:p w14:paraId="128BF7C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9</w:t>
            </w:r>
          </w:p>
        </w:tc>
        <w:tc>
          <w:tcPr>
            <w:tcW w:w="1170" w:type="dxa"/>
            <w:tcBorders>
              <w:top w:val="single" w:sz="4" w:space="0" w:color="auto"/>
              <w:left w:val="single" w:sz="4" w:space="0" w:color="auto"/>
              <w:bottom w:val="single" w:sz="4" w:space="0" w:color="auto"/>
              <w:right w:val="single" w:sz="4" w:space="0" w:color="auto"/>
            </w:tcBorders>
            <w:shd w:val="clear" w:color="000000" w:fill="C4D5EB"/>
            <w:noWrap/>
            <w:vAlign w:val="center"/>
            <w:hideMark/>
          </w:tcPr>
          <w:p w14:paraId="1EAD5F0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-0.081</w:t>
            </w:r>
          </w:p>
        </w:tc>
      </w:tr>
      <w:tr w:rsidR="00D90724" w:rsidRPr="002510EF" w14:paraId="52565D16"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7C7F46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1987 Whittier Narrows</w:t>
            </w:r>
          </w:p>
        </w:tc>
        <w:tc>
          <w:tcPr>
            <w:tcW w:w="865" w:type="dxa"/>
            <w:tcBorders>
              <w:top w:val="nil"/>
              <w:left w:val="nil"/>
              <w:bottom w:val="single" w:sz="4" w:space="0" w:color="auto"/>
              <w:right w:val="single" w:sz="4" w:space="0" w:color="auto"/>
            </w:tcBorders>
            <w:shd w:val="clear" w:color="auto" w:fill="auto"/>
            <w:noWrap/>
            <w:vAlign w:val="center"/>
            <w:hideMark/>
          </w:tcPr>
          <w:p w14:paraId="1CF6F971"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5.99</w:t>
            </w:r>
          </w:p>
        </w:tc>
        <w:tc>
          <w:tcPr>
            <w:tcW w:w="990" w:type="dxa"/>
            <w:tcBorders>
              <w:top w:val="nil"/>
              <w:left w:val="nil"/>
              <w:bottom w:val="single" w:sz="4" w:space="0" w:color="auto"/>
              <w:right w:val="single" w:sz="4" w:space="0" w:color="auto"/>
            </w:tcBorders>
            <w:shd w:val="clear" w:color="auto" w:fill="auto"/>
            <w:noWrap/>
            <w:vAlign w:val="center"/>
            <w:hideMark/>
          </w:tcPr>
          <w:p w14:paraId="49CC337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113</w:t>
            </w:r>
          </w:p>
        </w:tc>
        <w:tc>
          <w:tcPr>
            <w:tcW w:w="1170" w:type="dxa"/>
            <w:tcBorders>
              <w:top w:val="nil"/>
              <w:left w:val="nil"/>
              <w:bottom w:val="single" w:sz="4" w:space="0" w:color="auto"/>
              <w:right w:val="single" w:sz="4" w:space="0" w:color="auto"/>
            </w:tcBorders>
            <w:shd w:val="clear" w:color="auto" w:fill="auto"/>
            <w:vAlign w:val="center"/>
            <w:hideMark/>
          </w:tcPr>
          <w:p w14:paraId="39DF977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18</w:t>
            </w:r>
          </w:p>
        </w:tc>
        <w:tc>
          <w:tcPr>
            <w:tcW w:w="1080" w:type="dxa"/>
            <w:tcBorders>
              <w:top w:val="single" w:sz="4" w:space="0" w:color="auto"/>
              <w:left w:val="single" w:sz="4" w:space="0" w:color="auto"/>
              <w:bottom w:val="single" w:sz="4" w:space="0" w:color="auto"/>
              <w:right w:val="single" w:sz="4" w:space="0" w:color="auto"/>
            </w:tcBorders>
            <w:shd w:val="clear" w:color="000000" w:fill="E5EBF6"/>
            <w:vAlign w:val="center"/>
            <w:hideMark/>
          </w:tcPr>
          <w:p w14:paraId="51C2FA1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0.011</w:t>
            </w:r>
          </w:p>
        </w:tc>
        <w:tc>
          <w:tcPr>
            <w:tcW w:w="1170" w:type="dxa"/>
            <w:tcBorders>
              <w:top w:val="nil"/>
              <w:left w:val="nil"/>
              <w:bottom w:val="single" w:sz="4" w:space="0" w:color="auto"/>
              <w:right w:val="single" w:sz="4" w:space="0" w:color="auto"/>
            </w:tcBorders>
            <w:shd w:val="clear" w:color="auto" w:fill="auto"/>
            <w:noWrap/>
            <w:vAlign w:val="center"/>
            <w:hideMark/>
          </w:tcPr>
          <w:p w14:paraId="400104D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58</w:t>
            </w:r>
          </w:p>
        </w:tc>
        <w:tc>
          <w:tcPr>
            <w:tcW w:w="1170" w:type="dxa"/>
            <w:tcBorders>
              <w:top w:val="single" w:sz="4" w:space="0" w:color="auto"/>
              <w:left w:val="single" w:sz="4" w:space="0" w:color="auto"/>
              <w:bottom w:val="single" w:sz="4" w:space="0" w:color="auto"/>
              <w:right w:val="single" w:sz="4" w:space="0" w:color="auto"/>
            </w:tcBorders>
            <w:shd w:val="clear" w:color="000000" w:fill="E8EEF8"/>
            <w:noWrap/>
            <w:vAlign w:val="center"/>
            <w:hideMark/>
          </w:tcPr>
          <w:p w14:paraId="0224A18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0.013</w:t>
            </w:r>
          </w:p>
        </w:tc>
      </w:tr>
      <w:tr w:rsidR="00D90724" w:rsidRPr="002510EF" w14:paraId="30890EC3"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63DFE0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1987 Superstition Hills</w:t>
            </w:r>
          </w:p>
        </w:tc>
        <w:tc>
          <w:tcPr>
            <w:tcW w:w="865" w:type="dxa"/>
            <w:tcBorders>
              <w:top w:val="nil"/>
              <w:left w:val="nil"/>
              <w:bottom w:val="single" w:sz="4" w:space="0" w:color="auto"/>
              <w:right w:val="single" w:sz="4" w:space="0" w:color="auto"/>
            </w:tcBorders>
            <w:shd w:val="clear" w:color="auto" w:fill="auto"/>
            <w:noWrap/>
            <w:vAlign w:val="center"/>
            <w:hideMark/>
          </w:tcPr>
          <w:p w14:paraId="2347CFC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6.54</w:t>
            </w:r>
          </w:p>
        </w:tc>
        <w:tc>
          <w:tcPr>
            <w:tcW w:w="990" w:type="dxa"/>
            <w:tcBorders>
              <w:top w:val="nil"/>
              <w:left w:val="nil"/>
              <w:bottom w:val="single" w:sz="4" w:space="0" w:color="auto"/>
              <w:right w:val="single" w:sz="4" w:space="0" w:color="auto"/>
            </w:tcBorders>
            <w:shd w:val="clear" w:color="auto" w:fill="auto"/>
            <w:noWrap/>
            <w:vAlign w:val="center"/>
            <w:hideMark/>
          </w:tcPr>
          <w:p w14:paraId="14FBC33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116</w:t>
            </w:r>
          </w:p>
        </w:tc>
        <w:tc>
          <w:tcPr>
            <w:tcW w:w="1170" w:type="dxa"/>
            <w:tcBorders>
              <w:top w:val="nil"/>
              <w:left w:val="nil"/>
              <w:bottom w:val="single" w:sz="4" w:space="0" w:color="auto"/>
              <w:right w:val="single" w:sz="4" w:space="0" w:color="auto"/>
            </w:tcBorders>
            <w:shd w:val="clear" w:color="auto" w:fill="auto"/>
            <w:vAlign w:val="center"/>
            <w:hideMark/>
          </w:tcPr>
          <w:p w14:paraId="197CE35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w:t>
            </w:r>
          </w:p>
        </w:tc>
        <w:tc>
          <w:tcPr>
            <w:tcW w:w="1080" w:type="dxa"/>
            <w:tcBorders>
              <w:top w:val="single" w:sz="4" w:space="0" w:color="auto"/>
              <w:left w:val="single" w:sz="4" w:space="0" w:color="auto"/>
              <w:bottom w:val="single" w:sz="4" w:space="0" w:color="auto"/>
              <w:right w:val="single" w:sz="4" w:space="0" w:color="auto"/>
            </w:tcBorders>
            <w:shd w:val="clear" w:color="000000" w:fill="FCE4E7"/>
            <w:vAlign w:val="center"/>
            <w:hideMark/>
          </w:tcPr>
          <w:p w14:paraId="672AF3B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0.12</w:t>
            </w:r>
          </w:p>
        </w:tc>
        <w:tc>
          <w:tcPr>
            <w:tcW w:w="1170" w:type="dxa"/>
            <w:tcBorders>
              <w:top w:val="nil"/>
              <w:left w:val="nil"/>
              <w:bottom w:val="single" w:sz="4" w:space="0" w:color="auto"/>
              <w:right w:val="single" w:sz="4" w:space="0" w:color="auto"/>
            </w:tcBorders>
            <w:shd w:val="clear" w:color="auto" w:fill="auto"/>
            <w:noWrap/>
            <w:vAlign w:val="center"/>
            <w:hideMark/>
          </w:tcPr>
          <w:p w14:paraId="75D5D07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8</w:t>
            </w:r>
          </w:p>
        </w:tc>
        <w:tc>
          <w:tcPr>
            <w:tcW w:w="1170" w:type="dxa"/>
            <w:tcBorders>
              <w:top w:val="single" w:sz="4" w:space="0" w:color="auto"/>
              <w:left w:val="single" w:sz="4" w:space="0" w:color="auto"/>
              <w:bottom w:val="single" w:sz="4" w:space="0" w:color="auto"/>
              <w:right w:val="single" w:sz="4" w:space="0" w:color="auto"/>
            </w:tcBorders>
            <w:shd w:val="clear" w:color="000000" w:fill="FCEEF1"/>
            <w:noWrap/>
            <w:vAlign w:val="center"/>
            <w:hideMark/>
          </w:tcPr>
          <w:p w14:paraId="26AC06A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0.092</w:t>
            </w:r>
          </w:p>
        </w:tc>
      </w:tr>
      <w:tr w:rsidR="00D90724" w:rsidRPr="002510EF" w14:paraId="021988C3"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508289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lastRenderedPageBreak/>
              <w:t xml:space="preserve">1989 Loma </w:t>
            </w:r>
            <w:proofErr w:type="spellStart"/>
            <w:r w:rsidRPr="002510EF">
              <w:rPr>
                <w:rFonts w:ascii="Arial" w:hAnsi="Arial" w:cs="Arial"/>
                <w:color w:val="000000"/>
                <w:sz w:val="18"/>
                <w:szCs w:val="18"/>
              </w:rPr>
              <w:t>Prieta</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750A8D0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6.93</w:t>
            </w:r>
          </w:p>
        </w:tc>
        <w:tc>
          <w:tcPr>
            <w:tcW w:w="990" w:type="dxa"/>
            <w:tcBorders>
              <w:top w:val="nil"/>
              <w:left w:val="nil"/>
              <w:bottom w:val="single" w:sz="4" w:space="0" w:color="auto"/>
              <w:right w:val="single" w:sz="4" w:space="0" w:color="auto"/>
            </w:tcBorders>
            <w:shd w:val="clear" w:color="auto" w:fill="auto"/>
            <w:noWrap/>
            <w:vAlign w:val="center"/>
            <w:hideMark/>
          </w:tcPr>
          <w:p w14:paraId="30D0899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118</w:t>
            </w:r>
          </w:p>
        </w:tc>
        <w:tc>
          <w:tcPr>
            <w:tcW w:w="1170" w:type="dxa"/>
            <w:tcBorders>
              <w:top w:val="nil"/>
              <w:left w:val="nil"/>
              <w:bottom w:val="single" w:sz="4" w:space="0" w:color="auto"/>
              <w:right w:val="single" w:sz="4" w:space="0" w:color="auto"/>
            </w:tcBorders>
            <w:shd w:val="clear" w:color="auto" w:fill="auto"/>
            <w:vAlign w:val="center"/>
            <w:hideMark/>
          </w:tcPr>
          <w:p w14:paraId="4B3BA6C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17</w:t>
            </w:r>
          </w:p>
        </w:tc>
        <w:tc>
          <w:tcPr>
            <w:tcW w:w="1080" w:type="dxa"/>
            <w:tcBorders>
              <w:top w:val="single" w:sz="4" w:space="0" w:color="auto"/>
              <w:left w:val="single" w:sz="4" w:space="0" w:color="auto"/>
              <w:bottom w:val="single" w:sz="4" w:space="0" w:color="auto"/>
              <w:right w:val="single" w:sz="4" w:space="0" w:color="auto"/>
            </w:tcBorders>
            <w:shd w:val="clear" w:color="000000" w:fill="FBD7DA"/>
            <w:vAlign w:val="center"/>
            <w:hideMark/>
          </w:tcPr>
          <w:p w14:paraId="4A7AAF6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0.147</w:t>
            </w:r>
          </w:p>
        </w:tc>
        <w:tc>
          <w:tcPr>
            <w:tcW w:w="1170" w:type="dxa"/>
            <w:tcBorders>
              <w:top w:val="nil"/>
              <w:left w:val="nil"/>
              <w:bottom w:val="single" w:sz="4" w:space="0" w:color="auto"/>
              <w:right w:val="single" w:sz="4" w:space="0" w:color="auto"/>
            </w:tcBorders>
            <w:shd w:val="clear" w:color="auto" w:fill="auto"/>
            <w:noWrap/>
            <w:vAlign w:val="center"/>
            <w:hideMark/>
          </w:tcPr>
          <w:p w14:paraId="5FA7232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37</w:t>
            </w:r>
          </w:p>
        </w:tc>
        <w:tc>
          <w:tcPr>
            <w:tcW w:w="1170" w:type="dxa"/>
            <w:tcBorders>
              <w:top w:val="single" w:sz="4" w:space="0" w:color="auto"/>
              <w:left w:val="single" w:sz="4" w:space="0" w:color="auto"/>
              <w:bottom w:val="single" w:sz="4" w:space="0" w:color="auto"/>
              <w:right w:val="single" w:sz="4" w:space="0" w:color="auto"/>
            </w:tcBorders>
            <w:shd w:val="clear" w:color="000000" w:fill="FCE7E9"/>
            <w:noWrap/>
            <w:vAlign w:val="center"/>
            <w:hideMark/>
          </w:tcPr>
          <w:p w14:paraId="29FDA11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0.108</w:t>
            </w:r>
          </w:p>
        </w:tc>
      </w:tr>
      <w:tr w:rsidR="00D90724" w:rsidRPr="002510EF" w14:paraId="7CF4BF03"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8A0440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1992 Landers</w:t>
            </w:r>
          </w:p>
        </w:tc>
        <w:tc>
          <w:tcPr>
            <w:tcW w:w="865" w:type="dxa"/>
            <w:tcBorders>
              <w:top w:val="nil"/>
              <w:left w:val="nil"/>
              <w:bottom w:val="single" w:sz="4" w:space="0" w:color="auto"/>
              <w:right w:val="single" w:sz="4" w:space="0" w:color="auto"/>
            </w:tcBorders>
            <w:shd w:val="clear" w:color="auto" w:fill="auto"/>
            <w:noWrap/>
            <w:vAlign w:val="center"/>
            <w:hideMark/>
          </w:tcPr>
          <w:p w14:paraId="275FB52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7.28</w:t>
            </w:r>
          </w:p>
        </w:tc>
        <w:tc>
          <w:tcPr>
            <w:tcW w:w="990" w:type="dxa"/>
            <w:tcBorders>
              <w:top w:val="nil"/>
              <w:left w:val="nil"/>
              <w:bottom w:val="single" w:sz="4" w:space="0" w:color="auto"/>
              <w:right w:val="single" w:sz="4" w:space="0" w:color="auto"/>
            </w:tcBorders>
            <w:shd w:val="clear" w:color="auto" w:fill="auto"/>
            <w:noWrap/>
            <w:vAlign w:val="center"/>
            <w:hideMark/>
          </w:tcPr>
          <w:p w14:paraId="1DB5E23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125</w:t>
            </w:r>
          </w:p>
        </w:tc>
        <w:tc>
          <w:tcPr>
            <w:tcW w:w="1170" w:type="dxa"/>
            <w:tcBorders>
              <w:top w:val="nil"/>
              <w:left w:val="nil"/>
              <w:bottom w:val="single" w:sz="4" w:space="0" w:color="auto"/>
              <w:right w:val="single" w:sz="4" w:space="0" w:color="auto"/>
            </w:tcBorders>
            <w:shd w:val="clear" w:color="auto" w:fill="auto"/>
            <w:vAlign w:val="center"/>
            <w:hideMark/>
          </w:tcPr>
          <w:p w14:paraId="65B3A57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000000" w:fill="DAE4F3"/>
            <w:vAlign w:val="center"/>
            <w:hideMark/>
          </w:tcPr>
          <w:p w14:paraId="37E02930"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-0.018</w:t>
            </w:r>
          </w:p>
        </w:tc>
        <w:tc>
          <w:tcPr>
            <w:tcW w:w="1170" w:type="dxa"/>
            <w:tcBorders>
              <w:top w:val="nil"/>
              <w:left w:val="nil"/>
              <w:bottom w:val="single" w:sz="4" w:space="0" w:color="auto"/>
              <w:right w:val="single" w:sz="4" w:space="0" w:color="auto"/>
            </w:tcBorders>
            <w:shd w:val="clear" w:color="auto" w:fill="auto"/>
            <w:noWrap/>
            <w:vAlign w:val="center"/>
            <w:hideMark/>
          </w:tcPr>
          <w:p w14:paraId="2D98F78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13</w:t>
            </w:r>
          </w:p>
        </w:tc>
        <w:tc>
          <w:tcPr>
            <w:tcW w:w="1170" w:type="dxa"/>
            <w:tcBorders>
              <w:top w:val="single" w:sz="4" w:space="0" w:color="auto"/>
              <w:left w:val="single" w:sz="4" w:space="0" w:color="auto"/>
              <w:bottom w:val="single" w:sz="4" w:space="0" w:color="auto"/>
              <w:right w:val="single" w:sz="4" w:space="0" w:color="auto"/>
            </w:tcBorders>
            <w:shd w:val="clear" w:color="000000" w:fill="D2DEF0"/>
            <w:noWrap/>
            <w:vAlign w:val="center"/>
            <w:hideMark/>
          </w:tcPr>
          <w:p w14:paraId="605D78E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-0.045</w:t>
            </w:r>
          </w:p>
        </w:tc>
      </w:tr>
      <w:tr w:rsidR="00D90724" w:rsidRPr="002510EF" w14:paraId="7D22B6B4"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450C8A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1995 Kobe</w:t>
            </w:r>
          </w:p>
        </w:tc>
        <w:tc>
          <w:tcPr>
            <w:tcW w:w="865" w:type="dxa"/>
            <w:tcBorders>
              <w:top w:val="nil"/>
              <w:left w:val="nil"/>
              <w:bottom w:val="single" w:sz="4" w:space="0" w:color="auto"/>
              <w:right w:val="single" w:sz="4" w:space="0" w:color="auto"/>
            </w:tcBorders>
            <w:shd w:val="clear" w:color="auto" w:fill="auto"/>
            <w:noWrap/>
            <w:vAlign w:val="center"/>
            <w:hideMark/>
          </w:tcPr>
          <w:p w14:paraId="3A2EA48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6.9</w:t>
            </w:r>
          </w:p>
        </w:tc>
        <w:tc>
          <w:tcPr>
            <w:tcW w:w="990" w:type="dxa"/>
            <w:tcBorders>
              <w:top w:val="nil"/>
              <w:left w:val="nil"/>
              <w:bottom w:val="single" w:sz="4" w:space="0" w:color="auto"/>
              <w:right w:val="single" w:sz="4" w:space="0" w:color="auto"/>
            </w:tcBorders>
            <w:shd w:val="clear" w:color="auto" w:fill="auto"/>
            <w:noWrap/>
            <w:vAlign w:val="center"/>
            <w:hideMark/>
          </w:tcPr>
          <w:p w14:paraId="2A6AC48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129</w:t>
            </w:r>
          </w:p>
        </w:tc>
        <w:tc>
          <w:tcPr>
            <w:tcW w:w="1170" w:type="dxa"/>
            <w:tcBorders>
              <w:top w:val="nil"/>
              <w:left w:val="nil"/>
              <w:bottom w:val="single" w:sz="4" w:space="0" w:color="auto"/>
              <w:right w:val="single" w:sz="4" w:space="0" w:color="auto"/>
            </w:tcBorders>
            <w:shd w:val="clear" w:color="auto" w:fill="auto"/>
            <w:vAlign w:val="center"/>
            <w:hideMark/>
          </w:tcPr>
          <w:p w14:paraId="5D02680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9</w:t>
            </w:r>
          </w:p>
        </w:tc>
        <w:tc>
          <w:tcPr>
            <w:tcW w:w="1080" w:type="dxa"/>
            <w:tcBorders>
              <w:top w:val="single" w:sz="4" w:space="0" w:color="auto"/>
              <w:left w:val="single" w:sz="4" w:space="0" w:color="auto"/>
              <w:bottom w:val="single" w:sz="4" w:space="0" w:color="auto"/>
              <w:right w:val="single" w:sz="4" w:space="0" w:color="auto"/>
            </w:tcBorders>
            <w:shd w:val="clear" w:color="000000" w:fill="FCDCDF"/>
            <w:vAlign w:val="center"/>
            <w:hideMark/>
          </w:tcPr>
          <w:p w14:paraId="405EA1F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0.137</w:t>
            </w:r>
          </w:p>
        </w:tc>
        <w:tc>
          <w:tcPr>
            <w:tcW w:w="1170" w:type="dxa"/>
            <w:tcBorders>
              <w:top w:val="nil"/>
              <w:left w:val="nil"/>
              <w:bottom w:val="single" w:sz="4" w:space="0" w:color="auto"/>
              <w:right w:val="single" w:sz="4" w:space="0" w:color="auto"/>
            </w:tcBorders>
            <w:shd w:val="clear" w:color="auto" w:fill="auto"/>
            <w:noWrap/>
            <w:vAlign w:val="center"/>
            <w:hideMark/>
          </w:tcPr>
          <w:p w14:paraId="0978B2D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16</w:t>
            </w:r>
          </w:p>
        </w:tc>
        <w:tc>
          <w:tcPr>
            <w:tcW w:w="1170"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6718C5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0.067</w:t>
            </w:r>
          </w:p>
        </w:tc>
      </w:tr>
      <w:tr w:rsidR="00D90724" w:rsidRPr="002510EF" w14:paraId="4A150508"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7C81F6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 xml:space="preserve">1999 </w:t>
            </w:r>
            <w:proofErr w:type="spellStart"/>
            <w:r w:rsidRPr="002510EF">
              <w:rPr>
                <w:rFonts w:ascii="Arial" w:hAnsi="Arial" w:cs="Arial"/>
                <w:color w:val="000000"/>
                <w:sz w:val="18"/>
                <w:szCs w:val="18"/>
              </w:rPr>
              <w:t>Kocaeli</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1368E68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7.35</w:t>
            </w:r>
          </w:p>
        </w:tc>
        <w:tc>
          <w:tcPr>
            <w:tcW w:w="990" w:type="dxa"/>
            <w:tcBorders>
              <w:top w:val="nil"/>
              <w:left w:val="nil"/>
              <w:bottom w:val="single" w:sz="4" w:space="0" w:color="auto"/>
              <w:right w:val="single" w:sz="4" w:space="0" w:color="auto"/>
            </w:tcBorders>
            <w:shd w:val="clear" w:color="auto" w:fill="auto"/>
            <w:noWrap/>
            <w:vAlign w:val="center"/>
            <w:hideMark/>
          </w:tcPr>
          <w:p w14:paraId="3A602FB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136</w:t>
            </w:r>
          </w:p>
        </w:tc>
        <w:tc>
          <w:tcPr>
            <w:tcW w:w="1170" w:type="dxa"/>
            <w:tcBorders>
              <w:top w:val="nil"/>
              <w:left w:val="nil"/>
              <w:bottom w:val="single" w:sz="4" w:space="0" w:color="auto"/>
              <w:right w:val="single" w:sz="4" w:space="0" w:color="auto"/>
            </w:tcBorders>
            <w:shd w:val="clear" w:color="auto" w:fill="auto"/>
            <w:vAlign w:val="center"/>
            <w:hideMark/>
          </w:tcPr>
          <w:p w14:paraId="1713708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000000" w:fill="E6ECF7"/>
            <w:vAlign w:val="center"/>
            <w:hideMark/>
          </w:tcPr>
          <w:p w14:paraId="5FD1885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0.014</w:t>
            </w:r>
          </w:p>
        </w:tc>
        <w:tc>
          <w:tcPr>
            <w:tcW w:w="1170" w:type="dxa"/>
            <w:tcBorders>
              <w:top w:val="nil"/>
              <w:left w:val="nil"/>
              <w:bottom w:val="single" w:sz="4" w:space="0" w:color="auto"/>
              <w:right w:val="single" w:sz="4" w:space="0" w:color="auto"/>
            </w:tcBorders>
            <w:shd w:val="clear" w:color="auto" w:fill="auto"/>
            <w:noWrap/>
            <w:vAlign w:val="center"/>
            <w:hideMark/>
          </w:tcPr>
          <w:p w14:paraId="0469725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w:t>
            </w:r>
          </w:p>
        </w:tc>
        <w:tc>
          <w:tcPr>
            <w:tcW w:w="1170" w:type="dxa"/>
            <w:tcBorders>
              <w:top w:val="single" w:sz="4" w:space="0" w:color="auto"/>
              <w:left w:val="single" w:sz="4" w:space="0" w:color="auto"/>
              <w:bottom w:val="single" w:sz="4" w:space="0" w:color="auto"/>
              <w:right w:val="single" w:sz="4" w:space="0" w:color="auto"/>
            </w:tcBorders>
            <w:shd w:val="clear" w:color="000000" w:fill="DEE6F4"/>
            <w:noWrap/>
            <w:vAlign w:val="center"/>
            <w:hideMark/>
          </w:tcPr>
          <w:p w14:paraId="5C55290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-0.015</w:t>
            </w:r>
          </w:p>
        </w:tc>
      </w:tr>
      <w:tr w:rsidR="00D90724" w:rsidRPr="002510EF" w14:paraId="37747961"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36EE2E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 xml:space="preserve">1999 </w:t>
            </w:r>
            <w:proofErr w:type="spellStart"/>
            <w:r w:rsidRPr="002510EF">
              <w:rPr>
                <w:rFonts w:ascii="Arial" w:hAnsi="Arial" w:cs="Arial"/>
                <w:color w:val="000000"/>
                <w:sz w:val="18"/>
                <w:szCs w:val="18"/>
              </w:rPr>
              <w:t>Duzce</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7004112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7.14</w:t>
            </w:r>
          </w:p>
        </w:tc>
        <w:tc>
          <w:tcPr>
            <w:tcW w:w="990" w:type="dxa"/>
            <w:tcBorders>
              <w:top w:val="nil"/>
              <w:left w:val="nil"/>
              <w:bottom w:val="single" w:sz="4" w:space="0" w:color="auto"/>
              <w:right w:val="single" w:sz="4" w:space="0" w:color="auto"/>
            </w:tcBorders>
            <w:shd w:val="clear" w:color="auto" w:fill="auto"/>
            <w:noWrap/>
            <w:vAlign w:val="center"/>
            <w:hideMark/>
          </w:tcPr>
          <w:p w14:paraId="6712354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138</w:t>
            </w:r>
          </w:p>
        </w:tc>
        <w:tc>
          <w:tcPr>
            <w:tcW w:w="1170" w:type="dxa"/>
            <w:tcBorders>
              <w:top w:val="nil"/>
              <w:left w:val="nil"/>
              <w:bottom w:val="single" w:sz="4" w:space="0" w:color="auto"/>
              <w:right w:val="single" w:sz="4" w:space="0" w:color="auto"/>
            </w:tcBorders>
            <w:shd w:val="clear" w:color="auto" w:fill="auto"/>
            <w:vAlign w:val="center"/>
            <w:hideMark/>
          </w:tcPr>
          <w:p w14:paraId="4093667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11</w:t>
            </w:r>
          </w:p>
        </w:tc>
        <w:tc>
          <w:tcPr>
            <w:tcW w:w="1080" w:type="dxa"/>
            <w:tcBorders>
              <w:top w:val="single" w:sz="4" w:space="0" w:color="auto"/>
              <w:left w:val="single" w:sz="4" w:space="0" w:color="auto"/>
              <w:bottom w:val="single" w:sz="4" w:space="0" w:color="auto"/>
              <w:right w:val="single" w:sz="4" w:space="0" w:color="auto"/>
            </w:tcBorders>
            <w:shd w:val="clear" w:color="000000" w:fill="FAAAAD"/>
            <w:vAlign w:val="center"/>
            <w:hideMark/>
          </w:tcPr>
          <w:p w14:paraId="71CEFCD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0.236</w:t>
            </w:r>
          </w:p>
        </w:tc>
        <w:tc>
          <w:tcPr>
            <w:tcW w:w="1170" w:type="dxa"/>
            <w:tcBorders>
              <w:top w:val="nil"/>
              <w:left w:val="nil"/>
              <w:bottom w:val="single" w:sz="4" w:space="0" w:color="auto"/>
              <w:right w:val="single" w:sz="4" w:space="0" w:color="auto"/>
            </w:tcBorders>
            <w:shd w:val="clear" w:color="auto" w:fill="auto"/>
            <w:noWrap/>
            <w:vAlign w:val="center"/>
            <w:hideMark/>
          </w:tcPr>
          <w:p w14:paraId="2CC65F2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14</w:t>
            </w:r>
          </w:p>
        </w:tc>
        <w:tc>
          <w:tcPr>
            <w:tcW w:w="1170" w:type="dxa"/>
            <w:tcBorders>
              <w:top w:val="single" w:sz="4" w:space="0" w:color="auto"/>
              <w:left w:val="single" w:sz="4" w:space="0" w:color="auto"/>
              <w:bottom w:val="single" w:sz="4" w:space="0" w:color="auto"/>
              <w:right w:val="single" w:sz="4" w:space="0" w:color="auto"/>
            </w:tcBorders>
            <w:shd w:val="clear" w:color="000000" w:fill="FAA8AA"/>
            <w:noWrap/>
            <w:vAlign w:val="center"/>
            <w:hideMark/>
          </w:tcPr>
          <w:p w14:paraId="513D4B0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0.237</w:t>
            </w:r>
          </w:p>
        </w:tc>
      </w:tr>
      <w:tr w:rsidR="00D90724" w:rsidRPr="002510EF" w14:paraId="78B448B4"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A61414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 xml:space="preserve">1990 </w:t>
            </w:r>
            <w:proofErr w:type="spellStart"/>
            <w:r w:rsidRPr="002510EF">
              <w:rPr>
                <w:rFonts w:ascii="Arial" w:hAnsi="Arial" w:cs="Arial"/>
                <w:color w:val="000000"/>
                <w:sz w:val="18"/>
                <w:szCs w:val="18"/>
              </w:rPr>
              <w:t>Manjil</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5012F040"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7.37</w:t>
            </w:r>
          </w:p>
        </w:tc>
        <w:tc>
          <w:tcPr>
            <w:tcW w:w="990" w:type="dxa"/>
            <w:tcBorders>
              <w:top w:val="nil"/>
              <w:left w:val="nil"/>
              <w:bottom w:val="single" w:sz="4" w:space="0" w:color="auto"/>
              <w:right w:val="single" w:sz="4" w:space="0" w:color="auto"/>
            </w:tcBorders>
            <w:shd w:val="clear" w:color="auto" w:fill="auto"/>
            <w:noWrap/>
            <w:vAlign w:val="center"/>
            <w:hideMark/>
          </w:tcPr>
          <w:p w14:paraId="0197B9D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144</w:t>
            </w:r>
          </w:p>
        </w:tc>
        <w:tc>
          <w:tcPr>
            <w:tcW w:w="1170" w:type="dxa"/>
            <w:tcBorders>
              <w:top w:val="nil"/>
              <w:left w:val="nil"/>
              <w:bottom w:val="single" w:sz="4" w:space="0" w:color="auto"/>
              <w:right w:val="single" w:sz="4" w:space="0" w:color="auto"/>
            </w:tcBorders>
            <w:shd w:val="clear" w:color="auto" w:fill="auto"/>
            <w:vAlign w:val="center"/>
            <w:hideMark/>
          </w:tcPr>
          <w:p w14:paraId="34C0565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51BD82D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0.365</w:t>
            </w:r>
          </w:p>
        </w:tc>
        <w:tc>
          <w:tcPr>
            <w:tcW w:w="1170" w:type="dxa"/>
            <w:tcBorders>
              <w:top w:val="nil"/>
              <w:left w:val="nil"/>
              <w:bottom w:val="single" w:sz="4" w:space="0" w:color="auto"/>
              <w:right w:val="single" w:sz="4" w:space="0" w:color="auto"/>
            </w:tcBorders>
            <w:shd w:val="clear" w:color="auto" w:fill="auto"/>
            <w:noWrap/>
            <w:vAlign w:val="center"/>
            <w:hideMark/>
          </w:tcPr>
          <w:p w14:paraId="6E51C77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17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25DEF5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0.365</w:t>
            </w:r>
          </w:p>
        </w:tc>
      </w:tr>
      <w:tr w:rsidR="00D90724" w:rsidRPr="002510EF" w14:paraId="7FB266BB"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75608A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1999 Hector Mine</w:t>
            </w:r>
          </w:p>
        </w:tc>
        <w:tc>
          <w:tcPr>
            <w:tcW w:w="865" w:type="dxa"/>
            <w:tcBorders>
              <w:top w:val="nil"/>
              <w:left w:val="nil"/>
              <w:bottom w:val="single" w:sz="4" w:space="0" w:color="auto"/>
              <w:right w:val="single" w:sz="4" w:space="0" w:color="auto"/>
            </w:tcBorders>
            <w:shd w:val="clear" w:color="auto" w:fill="auto"/>
            <w:noWrap/>
            <w:vAlign w:val="center"/>
            <w:hideMark/>
          </w:tcPr>
          <w:p w14:paraId="7A96611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7.13</w:t>
            </w:r>
          </w:p>
        </w:tc>
        <w:tc>
          <w:tcPr>
            <w:tcW w:w="990" w:type="dxa"/>
            <w:tcBorders>
              <w:top w:val="nil"/>
              <w:left w:val="nil"/>
              <w:bottom w:val="single" w:sz="4" w:space="0" w:color="auto"/>
              <w:right w:val="single" w:sz="4" w:space="0" w:color="auto"/>
            </w:tcBorders>
            <w:shd w:val="clear" w:color="auto" w:fill="auto"/>
            <w:noWrap/>
            <w:vAlign w:val="center"/>
            <w:hideMark/>
          </w:tcPr>
          <w:p w14:paraId="7618275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158</w:t>
            </w:r>
          </w:p>
        </w:tc>
        <w:tc>
          <w:tcPr>
            <w:tcW w:w="1170" w:type="dxa"/>
            <w:tcBorders>
              <w:top w:val="nil"/>
              <w:left w:val="nil"/>
              <w:bottom w:val="single" w:sz="4" w:space="0" w:color="auto"/>
              <w:right w:val="single" w:sz="4" w:space="0" w:color="auto"/>
            </w:tcBorders>
            <w:shd w:val="clear" w:color="auto" w:fill="auto"/>
            <w:vAlign w:val="center"/>
            <w:hideMark/>
          </w:tcPr>
          <w:p w14:paraId="17AB23F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A8F91"/>
            <w:vAlign w:val="center"/>
            <w:hideMark/>
          </w:tcPr>
          <w:p w14:paraId="1B901E2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0.29</w:t>
            </w:r>
          </w:p>
        </w:tc>
        <w:tc>
          <w:tcPr>
            <w:tcW w:w="1170" w:type="dxa"/>
            <w:tcBorders>
              <w:top w:val="nil"/>
              <w:left w:val="nil"/>
              <w:bottom w:val="single" w:sz="4" w:space="0" w:color="auto"/>
              <w:right w:val="single" w:sz="4" w:space="0" w:color="auto"/>
            </w:tcBorders>
            <w:shd w:val="clear" w:color="auto" w:fill="auto"/>
            <w:noWrap/>
            <w:vAlign w:val="center"/>
            <w:hideMark/>
          </w:tcPr>
          <w:p w14:paraId="02E1094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000000" w:fill="FBBABD"/>
            <w:noWrap/>
            <w:vAlign w:val="center"/>
            <w:hideMark/>
          </w:tcPr>
          <w:p w14:paraId="0E2D6CC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0.199</w:t>
            </w:r>
          </w:p>
        </w:tc>
      </w:tr>
      <w:tr w:rsidR="00D90724" w:rsidRPr="002510EF" w14:paraId="6AE75790"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A1C085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2002 Denali</w:t>
            </w:r>
          </w:p>
        </w:tc>
        <w:tc>
          <w:tcPr>
            <w:tcW w:w="865" w:type="dxa"/>
            <w:tcBorders>
              <w:top w:val="nil"/>
              <w:left w:val="nil"/>
              <w:bottom w:val="single" w:sz="4" w:space="0" w:color="auto"/>
              <w:right w:val="single" w:sz="4" w:space="0" w:color="auto"/>
            </w:tcBorders>
            <w:shd w:val="clear" w:color="auto" w:fill="auto"/>
            <w:noWrap/>
            <w:vAlign w:val="center"/>
            <w:hideMark/>
          </w:tcPr>
          <w:p w14:paraId="207A08D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7.9</w:t>
            </w:r>
          </w:p>
        </w:tc>
        <w:tc>
          <w:tcPr>
            <w:tcW w:w="990" w:type="dxa"/>
            <w:tcBorders>
              <w:top w:val="nil"/>
              <w:left w:val="nil"/>
              <w:bottom w:val="single" w:sz="4" w:space="0" w:color="auto"/>
              <w:right w:val="single" w:sz="4" w:space="0" w:color="auto"/>
            </w:tcBorders>
            <w:shd w:val="clear" w:color="auto" w:fill="auto"/>
            <w:noWrap/>
            <w:vAlign w:val="center"/>
            <w:hideMark/>
          </w:tcPr>
          <w:p w14:paraId="04B2025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169</w:t>
            </w:r>
          </w:p>
        </w:tc>
        <w:tc>
          <w:tcPr>
            <w:tcW w:w="1170" w:type="dxa"/>
            <w:tcBorders>
              <w:top w:val="nil"/>
              <w:left w:val="nil"/>
              <w:bottom w:val="single" w:sz="4" w:space="0" w:color="auto"/>
              <w:right w:val="single" w:sz="4" w:space="0" w:color="auto"/>
            </w:tcBorders>
            <w:shd w:val="clear" w:color="auto" w:fill="auto"/>
            <w:vAlign w:val="center"/>
            <w:hideMark/>
          </w:tcPr>
          <w:p w14:paraId="3C107C1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DBE4F3"/>
            <w:vAlign w:val="center"/>
            <w:hideMark/>
          </w:tcPr>
          <w:p w14:paraId="5F75C9A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-0.016</w:t>
            </w:r>
          </w:p>
        </w:tc>
        <w:tc>
          <w:tcPr>
            <w:tcW w:w="1170" w:type="dxa"/>
            <w:tcBorders>
              <w:top w:val="nil"/>
              <w:left w:val="nil"/>
              <w:bottom w:val="single" w:sz="4" w:space="0" w:color="auto"/>
              <w:right w:val="single" w:sz="4" w:space="0" w:color="auto"/>
            </w:tcBorders>
            <w:shd w:val="clear" w:color="auto" w:fill="auto"/>
            <w:noWrap/>
            <w:vAlign w:val="center"/>
            <w:hideMark/>
          </w:tcPr>
          <w:p w14:paraId="44C5440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170" w:type="dxa"/>
            <w:tcBorders>
              <w:top w:val="single" w:sz="4" w:space="0" w:color="auto"/>
              <w:left w:val="single" w:sz="4" w:space="0" w:color="auto"/>
              <w:bottom w:val="single" w:sz="4" w:space="0" w:color="auto"/>
              <w:right w:val="single" w:sz="4" w:space="0" w:color="auto"/>
            </w:tcBorders>
            <w:shd w:val="clear" w:color="000000" w:fill="DDE6F4"/>
            <w:noWrap/>
            <w:vAlign w:val="center"/>
            <w:hideMark/>
          </w:tcPr>
          <w:p w14:paraId="5ECFF49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-0.016</w:t>
            </w:r>
          </w:p>
        </w:tc>
      </w:tr>
      <w:tr w:rsidR="00D90724" w:rsidRPr="002510EF" w14:paraId="1BAF5314"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817222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2000 Tottori</w:t>
            </w:r>
          </w:p>
        </w:tc>
        <w:tc>
          <w:tcPr>
            <w:tcW w:w="865" w:type="dxa"/>
            <w:tcBorders>
              <w:top w:val="nil"/>
              <w:left w:val="nil"/>
              <w:bottom w:val="single" w:sz="4" w:space="0" w:color="auto"/>
              <w:right w:val="single" w:sz="4" w:space="0" w:color="auto"/>
            </w:tcBorders>
            <w:shd w:val="clear" w:color="auto" w:fill="auto"/>
            <w:noWrap/>
            <w:vAlign w:val="center"/>
            <w:hideMark/>
          </w:tcPr>
          <w:p w14:paraId="3A8703B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6.6</w:t>
            </w:r>
          </w:p>
        </w:tc>
        <w:tc>
          <w:tcPr>
            <w:tcW w:w="990" w:type="dxa"/>
            <w:tcBorders>
              <w:top w:val="nil"/>
              <w:left w:val="nil"/>
              <w:bottom w:val="single" w:sz="4" w:space="0" w:color="auto"/>
              <w:right w:val="single" w:sz="4" w:space="0" w:color="auto"/>
            </w:tcBorders>
            <w:shd w:val="clear" w:color="auto" w:fill="auto"/>
            <w:noWrap/>
            <w:vAlign w:val="center"/>
            <w:hideMark/>
          </w:tcPr>
          <w:p w14:paraId="68A68ED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176</w:t>
            </w:r>
          </w:p>
        </w:tc>
        <w:tc>
          <w:tcPr>
            <w:tcW w:w="1170" w:type="dxa"/>
            <w:tcBorders>
              <w:top w:val="nil"/>
              <w:left w:val="nil"/>
              <w:bottom w:val="single" w:sz="4" w:space="0" w:color="auto"/>
              <w:right w:val="single" w:sz="4" w:space="0" w:color="auto"/>
            </w:tcBorders>
            <w:shd w:val="clear" w:color="auto" w:fill="auto"/>
            <w:vAlign w:val="center"/>
            <w:hideMark/>
          </w:tcPr>
          <w:p w14:paraId="58C2EEF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10</w:t>
            </w:r>
          </w:p>
        </w:tc>
        <w:tc>
          <w:tcPr>
            <w:tcW w:w="1080" w:type="dxa"/>
            <w:tcBorders>
              <w:top w:val="single" w:sz="4" w:space="0" w:color="auto"/>
              <w:left w:val="single" w:sz="4" w:space="0" w:color="auto"/>
              <w:bottom w:val="single" w:sz="4" w:space="0" w:color="auto"/>
              <w:right w:val="single" w:sz="4" w:space="0" w:color="auto"/>
            </w:tcBorders>
            <w:shd w:val="clear" w:color="000000" w:fill="E1E9F5"/>
            <w:vAlign w:val="center"/>
            <w:hideMark/>
          </w:tcPr>
          <w:p w14:paraId="4956C5F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0.002</w:t>
            </w:r>
          </w:p>
        </w:tc>
        <w:tc>
          <w:tcPr>
            <w:tcW w:w="1170" w:type="dxa"/>
            <w:tcBorders>
              <w:top w:val="nil"/>
              <w:left w:val="nil"/>
              <w:bottom w:val="single" w:sz="4" w:space="0" w:color="auto"/>
              <w:right w:val="single" w:sz="4" w:space="0" w:color="auto"/>
            </w:tcBorders>
            <w:shd w:val="clear" w:color="auto" w:fill="auto"/>
            <w:noWrap/>
            <w:vAlign w:val="center"/>
            <w:hideMark/>
          </w:tcPr>
          <w:p w14:paraId="20F6343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21</w:t>
            </w:r>
          </w:p>
        </w:tc>
        <w:tc>
          <w:tcPr>
            <w:tcW w:w="1170" w:type="dxa"/>
            <w:tcBorders>
              <w:top w:val="single" w:sz="4" w:space="0" w:color="auto"/>
              <w:left w:val="single" w:sz="4" w:space="0" w:color="auto"/>
              <w:bottom w:val="single" w:sz="4" w:space="0" w:color="auto"/>
              <w:right w:val="single" w:sz="4" w:space="0" w:color="auto"/>
            </w:tcBorders>
            <w:shd w:val="clear" w:color="000000" w:fill="F3F6FC"/>
            <w:noWrap/>
            <w:vAlign w:val="center"/>
            <w:hideMark/>
          </w:tcPr>
          <w:p w14:paraId="203E938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0.042</w:t>
            </w:r>
          </w:p>
        </w:tc>
      </w:tr>
      <w:tr w:rsidR="00D90724" w:rsidRPr="002510EF" w14:paraId="511448CA"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012EB5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2003 Bam</w:t>
            </w:r>
          </w:p>
        </w:tc>
        <w:tc>
          <w:tcPr>
            <w:tcW w:w="865" w:type="dxa"/>
            <w:tcBorders>
              <w:top w:val="nil"/>
              <w:left w:val="nil"/>
              <w:bottom w:val="single" w:sz="4" w:space="0" w:color="auto"/>
              <w:right w:val="single" w:sz="4" w:space="0" w:color="auto"/>
            </w:tcBorders>
            <w:shd w:val="clear" w:color="auto" w:fill="auto"/>
            <w:noWrap/>
            <w:vAlign w:val="center"/>
            <w:hideMark/>
          </w:tcPr>
          <w:p w14:paraId="60DBA14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6.5</w:t>
            </w:r>
          </w:p>
        </w:tc>
        <w:tc>
          <w:tcPr>
            <w:tcW w:w="990" w:type="dxa"/>
            <w:tcBorders>
              <w:top w:val="nil"/>
              <w:left w:val="nil"/>
              <w:bottom w:val="single" w:sz="4" w:space="0" w:color="auto"/>
              <w:right w:val="single" w:sz="4" w:space="0" w:color="auto"/>
            </w:tcBorders>
            <w:shd w:val="clear" w:color="auto" w:fill="auto"/>
            <w:noWrap/>
            <w:vAlign w:val="center"/>
            <w:hideMark/>
          </w:tcPr>
          <w:p w14:paraId="64C7FD5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178</w:t>
            </w:r>
          </w:p>
        </w:tc>
        <w:tc>
          <w:tcPr>
            <w:tcW w:w="1170" w:type="dxa"/>
            <w:tcBorders>
              <w:top w:val="nil"/>
              <w:left w:val="nil"/>
              <w:bottom w:val="single" w:sz="4" w:space="0" w:color="auto"/>
              <w:right w:val="single" w:sz="4" w:space="0" w:color="auto"/>
            </w:tcBorders>
            <w:shd w:val="clear" w:color="auto" w:fill="auto"/>
            <w:vAlign w:val="center"/>
            <w:hideMark/>
          </w:tcPr>
          <w:p w14:paraId="674F8BF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A9294"/>
            <w:vAlign w:val="center"/>
            <w:hideMark/>
          </w:tcPr>
          <w:p w14:paraId="71B9388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0.285</w:t>
            </w:r>
          </w:p>
        </w:tc>
        <w:tc>
          <w:tcPr>
            <w:tcW w:w="1170" w:type="dxa"/>
            <w:tcBorders>
              <w:top w:val="nil"/>
              <w:left w:val="nil"/>
              <w:bottom w:val="single" w:sz="4" w:space="0" w:color="auto"/>
              <w:right w:val="single" w:sz="4" w:space="0" w:color="auto"/>
            </w:tcBorders>
            <w:shd w:val="clear" w:color="auto" w:fill="auto"/>
            <w:noWrap/>
            <w:vAlign w:val="center"/>
            <w:hideMark/>
          </w:tcPr>
          <w:p w14:paraId="69BA7CE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w:t>
            </w:r>
          </w:p>
        </w:tc>
        <w:tc>
          <w:tcPr>
            <w:tcW w:w="1170" w:type="dxa"/>
            <w:tcBorders>
              <w:top w:val="single" w:sz="4" w:space="0" w:color="auto"/>
              <w:left w:val="single" w:sz="4" w:space="0" w:color="auto"/>
              <w:bottom w:val="single" w:sz="4" w:space="0" w:color="auto"/>
              <w:right w:val="single" w:sz="4" w:space="0" w:color="auto"/>
            </w:tcBorders>
            <w:shd w:val="clear" w:color="000000" w:fill="FA9093"/>
            <w:noWrap/>
            <w:vAlign w:val="center"/>
            <w:hideMark/>
          </w:tcPr>
          <w:p w14:paraId="3257102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0.285</w:t>
            </w:r>
          </w:p>
        </w:tc>
      </w:tr>
      <w:tr w:rsidR="00D90724" w:rsidRPr="002510EF" w14:paraId="4C726D10"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239614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2004 Parkfield</w:t>
            </w:r>
          </w:p>
        </w:tc>
        <w:tc>
          <w:tcPr>
            <w:tcW w:w="865" w:type="dxa"/>
            <w:tcBorders>
              <w:top w:val="nil"/>
              <w:left w:val="nil"/>
              <w:bottom w:val="single" w:sz="4" w:space="0" w:color="auto"/>
              <w:right w:val="single" w:sz="4" w:space="0" w:color="auto"/>
            </w:tcBorders>
            <w:shd w:val="clear" w:color="auto" w:fill="auto"/>
            <w:noWrap/>
            <w:vAlign w:val="center"/>
            <w:hideMark/>
          </w:tcPr>
          <w:p w14:paraId="3E567A60"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16A17F9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179</w:t>
            </w:r>
          </w:p>
        </w:tc>
        <w:tc>
          <w:tcPr>
            <w:tcW w:w="1170" w:type="dxa"/>
            <w:tcBorders>
              <w:top w:val="nil"/>
              <w:left w:val="nil"/>
              <w:bottom w:val="single" w:sz="4" w:space="0" w:color="auto"/>
              <w:right w:val="single" w:sz="4" w:space="0" w:color="auto"/>
            </w:tcBorders>
            <w:shd w:val="clear" w:color="auto" w:fill="auto"/>
            <w:vAlign w:val="center"/>
            <w:hideMark/>
          </w:tcPr>
          <w:p w14:paraId="4CA82E4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54</w:t>
            </w:r>
          </w:p>
        </w:tc>
        <w:tc>
          <w:tcPr>
            <w:tcW w:w="1080" w:type="dxa"/>
            <w:tcBorders>
              <w:top w:val="single" w:sz="4" w:space="0" w:color="auto"/>
              <w:left w:val="single" w:sz="4" w:space="0" w:color="auto"/>
              <w:bottom w:val="single" w:sz="4" w:space="0" w:color="auto"/>
              <w:right w:val="single" w:sz="4" w:space="0" w:color="auto"/>
            </w:tcBorders>
            <w:shd w:val="clear" w:color="000000" w:fill="CAD9ED"/>
            <w:vAlign w:val="center"/>
            <w:hideMark/>
          </w:tcPr>
          <w:p w14:paraId="6B0427A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-0.059</w:t>
            </w:r>
          </w:p>
        </w:tc>
        <w:tc>
          <w:tcPr>
            <w:tcW w:w="1170" w:type="dxa"/>
            <w:tcBorders>
              <w:top w:val="nil"/>
              <w:left w:val="nil"/>
              <w:bottom w:val="single" w:sz="4" w:space="0" w:color="auto"/>
              <w:right w:val="single" w:sz="4" w:space="0" w:color="auto"/>
            </w:tcBorders>
            <w:shd w:val="clear" w:color="auto" w:fill="auto"/>
            <w:noWrap/>
            <w:vAlign w:val="center"/>
            <w:hideMark/>
          </w:tcPr>
          <w:p w14:paraId="1971B43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57</w:t>
            </w:r>
          </w:p>
        </w:tc>
        <w:tc>
          <w:tcPr>
            <w:tcW w:w="1170" w:type="dxa"/>
            <w:tcBorders>
              <w:top w:val="single" w:sz="4" w:space="0" w:color="auto"/>
              <w:left w:val="single" w:sz="4" w:space="0" w:color="auto"/>
              <w:bottom w:val="single" w:sz="4" w:space="0" w:color="auto"/>
              <w:right w:val="single" w:sz="4" w:space="0" w:color="auto"/>
            </w:tcBorders>
            <w:shd w:val="clear" w:color="000000" w:fill="D2DEF0"/>
            <w:noWrap/>
            <w:vAlign w:val="center"/>
            <w:hideMark/>
          </w:tcPr>
          <w:p w14:paraId="3A1B82B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-0.045</w:t>
            </w:r>
          </w:p>
        </w:tc>
      </w:tr>
      <w:tr w:rsidR="00D90724" w:rsidRPr="002510EF" w14:paraId="3391F5F4"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CCEDCB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2008 Wenchuan</w:t>
            </w:r>
          </w:p>
        </w:tc>
        <w:tc>
          <w:tcPr>
            <w:tcW w:w="865" w:type="dxa"/>
            <w:tcBorders>
              <w:top w:val="nil"/>
              <w:left w:val="nil"/>
              <w:bottom w:val="single" w:sz="4" w:space="0" w:color="auto"/>
              <w:right w:val="single" w:sz="4" w:space="0" w:color="auto"/>
            </w:tcBorders>
            <w:shd w:val="clear" w:color="auto" w:fill="auto"/>
            <w:noWrap/>
            <w:vAlign w:val="center"/>
            <w:hideMark/>
          </w:tcPr>
          <w:p w14:paraId="06F5895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7.9</w:t>
            </w:r>
          </w:p>
        </w:tc>
        <w:tc>
          <w:tcPr>
            <w:tcW w:w="990" w:type="dxa"/>
            <w:tcBorders>
              <w:top w:val="nil"/>
              <w:left w:val="nil"/>
              <w:bottom w:val="single" w:sz="4" w:space="0" w:color="auto"/>
              <w:right w:val="single" w:sz="4" w:space="0" w:color="auto"/>
            </w:tcBorders>
            <w:shd w:val="clear" w:color="auto" w:fill="auto"/>
            <w:noWrap/>
            <w:vAlign w:val="center"/>
            <w:hideMark/>
          </w:tcPr>
          <w:p w14:paraId="14A34918"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277</w:t>
            </w:r>
          </w:p>
        </w:tc>
        <w:tc>
          <w:tcPr>
            <w:tcW w:w="1170" w:type="dxa"/>
            <w:tcBorders>
              <w:top w:val="nil"/>
              <w:left w:val="nil"/>
              <w:bottom w:val="single" w:sz="4" w:space="0" w:color="auto"/>
              <w:right w:val="single" w:sz="4" w:space="0" w:color="auto"/>
            </w:tcBorders>
            <w:shd w:val="clear" w:color="auto" w:fill="auto"/>
            <w:vAlign w:val="center"/>
            <w:hideMark/>
          </w:tcPr>
          <w:p w14:paraId="5737D9C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w:t>
            </w:r>
          </w:p>
        </w:tc>
        <w:tc>
          <w:tcPr>
            <w:tcW w:w="1080" w:type="dxa"/>
            <w:tcBorders>
              <w:top w:val="single" w:sz="4" w:space="0" w:color="auto"/>
              <w:left w:val="single" w:sz="4" w:space="0" w:color="auto"/>
              <w:bottom w:val="single" w:sz="4" w:space="0" w:color="auto"/>
              <w:right w:val="single" w:sz="4" w:space="0" w:color="auto"/>
            </w:tcBorders>
            <w:shd w:val="clear" w:color="000000" w:fill="CDDBEE"/>
            <w:vAlign w:val="center"/>
            <w:hideMark/>
          </w:tcPr>
          <w:p w14:paraId="14ABCDF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-0.053</w:t>
            </w:r>
          </w:p>
        </w:tc>
        <w:tc>
          <w:tcPr>
            <w:tcW w:w="1170" w:type="dxa"/>
            <w:tcBorders>
              <w:top w:val="nil"/>
              <w:left w:val="nil"/>
              <w:bottom w:val="single" w:sz="4" w:space="0" w:color="auto"/>
              <w:right w:val="single" w:sz="4" w:space="0" w:color="auto"/>
            </w:tcBorders>
            <w:shd w:val="clear" w:color="auto" w:fill="auto"/>
            <w:noWrap/>
            <w:vAlign w:val="center"/>
            <w:hideMark/>
          </w:tcPr>
          <w:p w14:paraId="1E09488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14</w:t>
            </w:r>
          </w:p>
        </w:tc>
        <w:tc>
          <w:tcPr>
            <w:tcW w:w="1170" w:type="dxa"/>
            <w:tcBorders>
              <w:top w:val="single" w:sz="4" w:space="0" w:color="auto"/>
              <w:left w:val="single" w:sz="4" w:space="0" w:color="auto"/>
              <w:bottom w:val="single" w:sz="4" w:space="0" w:color="auto"/>
              <w:right w:val="single" w:sz="4" w:space="0" w:color="auto"/>
            </w:tcBorders>
            <w:shd w:val="clear" w:color="000000" w:fill="D2DEF0"/>
            <w:noWrap/>
            <w:vAlign w:val="center"/>
            <w:hideMark/>
          </w:tcPr>
          <w:p w14:paraId="653168E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-0.046</w:t>
            </w:r>
          </w:p>
        </w:tc>
      </w:tr>
      <w:tr w:rsidR="00D90724" w:rsidRPr="002510EF" w14:paraId="23F31607"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195668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2010 El Mayor-</w:t>
            </w:r>
            <w:proofErr w:type="spellStart"/>
            <w:r w:rsidRPr="002510EF">
              <w:rPr>
                <w:rFonts w:ascii="Arial" w:hAnsi="Arial" w:cs="Arial"/>
                <w:color w:val="000000"/>
                <w:sz w:val="18"/>
                <w:szCs w:val="18"/>
              </w:rPr>
              <w:t>Cucapah</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5B8B67E4"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7.2</w:t>
            </w:r>
          </w:p>
        </w:tc>
        <w:tc>
          <w:tcPr>
            <w:tcW w:w="990" w:type="dxa"/>
            <w:tcBorders>
              <w:top w:val="nil"/>
              <w:left w:val="nil"/>
              <w:bottom w:val="single" w:sz="4" w:space="0" w:color="auto"/>
              <w:right w:val="single" w:sz="4" w:space="0" w:color="auto"/>
            </w:tcBorders>
            <w:shd w:val="clear" w:color="auto" w:fill="auto"/>
            <w:noWrap/>
            <w:vAlign w:val="center"/>
            <w:hideMark/>
          </w:tcPr>
          <w:p w14:paraId="0E1D72A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280</w:t>
            </w:r>
          </w:p>
        </w:tc>
        <w:tc>
          <w:tcPr>
            <w:tcW w:w="1170" w:type="dxa"/>
            <w:tcBorders>
              <w:top w:val="nil"/>
              <w:left w:val="nil"/>
              <w:bottom w:val="single" w:sz="4" w:space="0" w:color="auto"/>
              <w:right w:val="single" w:sz="4" w:space="0" w:color="auto"/>
            </w:tcBorders>
            <w:shd w:val="clear" w:color="auto" w:fill="auto"/>
            <w:vAlign w:val="center"/>
            <w:hideMark/>
          </w:tcPr>
          <w:p w14:paraId="1AC4CB1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8</w:t>
            </w:r>
          </w:p>
        </w:tc>
        <w:tc>
          <w:tcPr>
            <w:tcW w:w="1080" w:type="dxa"/>
            <w:tcBorders>
              <w:top w:val="single" w:sz="4" w:space="0" w:color="auto"/>
              <w:left w:val="single" w:sz="4" w:space="0" w:color="auto"/>
              <w:bottom w:val="single" w:sz="4" w:space="0" w:color="auto"/>
              <w:right w:val="single" w:sz="4" w:space="0" w:color="auto"/>
            </w:tcBorders>
            <w:shd w:val="clear" w:color="000000" w:fill="D3DFF0"/>
            <w:vAlign w:val="center"/>
            <w:hideMark/>
          </w:tcPr>
          <w:p w14:paraId="0AAFD0F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-0.036</w:t>
            </w:r>
          </w:p>
        </w:tc>
        <w:tc>
          <w:tcPr>
            <w:tcW w:w="1170" w:type="dxa"/>
            <w:tcBorders>
              <w:top w:val="nil"/>
              <w:left w:val="nil"/>
              <w:bottom w:val="single" w:sz="4" w:space="0" w:color="auto"/>
              <w:right w:val="single" w:sz="4" w:space="0" w:color="auto"/>
            </w:tcBorders>
            <w:shd w:val="clear" w:color="auto" w:fill="auto"/>
            <w:noWrap/>
            <w:vAlign w:val="center"/>
            <w:hideMark/>
          </w:tcPr>
          <w:p w14:paraId="15F0D35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22</w:t>
            </w:r>
          </w:p>
        </w:tc>
        <w:tc>
          <w:tcPr>
            <w:tcW w:w="1170" w:type="dxa"/>
            <w:tcBorders>
              <w:top w:val="single" w:sz="4" w:space="0" w:color="auto"/>
              <w:left w:val="single" w:sz="4" w:space="0" w:color="auto"/>
              <w:bottom w:val="single" w:sz="4" w:space="0" w:color="auto"/>
              <w:right w:val="single" w:sz="4" w:space="0" w:color="auto"/>
            </w:tcBorders>
            <w:shd w:val="clear" w:color="000000" w:fill="D5E0F1"/>
            <w:noWrap/>
            <w:vAlign w:val="center"/>
            <w:hideMark/>
          </w:tcPr>
          <w:p w14:paraId="52E7DC1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-0.038</w:t>
            </w:r>
          </w:p>
        </w:tc>
      </w:tr>
      <w:tr w:rsidR="00D90724" w:rsidRPr="002510EF" w14:paraId="7353F80F"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FA0E2CF"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2010 Darfield</w:t>
            </w:r>
          </w:p>
        </w:tc>
        <w:tc>
          <w:tcPr>
            <w:tcW w:w="865" w:type="dxa"/>
            <w:tcBorders>
              <w:top w:val="nil"/>
              <w:left w:val="nil"/>
              <w:bottom w:val="single" w:sz="4" w:space="0" w:color="auto"/>
              <w:right w:val="single" w:sz="4" w:space="0" w:color="auto"/>
            </w:tcBorders>
            <w:shd w:val="clear" w:color="auto" w:fill="auto"/>
            <w:noWrap/>
            <w:vAlign w:val="center"/>
            <w:hideMark/>
          </w:tcPr>
          <w:p w14:paraId="1A29F7FE"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7</w:t>
            </w:r>
          </w:p>
        </w:tc>
        <w:tc>
          <w:tcPr>
            <w:tcW w:w="990" w:type="dxa"/>
            <w:tcBorders>
              <w:top w:val="nil"/>
              <w:left w:val="nil"/>
              <w:bottom w:val="single" w:sz="4" w:space="0" w:color="auto"/>
              <w:right w:val="single" w:sz="4" w:space="0" w:color="auto"/>
            </w:tcBorders>
            <w:shd w:val="clear" w:color="auto" w:fill="auto"/>
            <w:noWrap/>
            <w:vAlign w:val="center"/>
            <w:hideMark/>
          </w:tcPr>
          <w:p w14:paraId="571B881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281</w:t>
            </w:r>
          </w:p>
        </w:tc>
        <w:tc>
          <w:tcPr>
            <w:tcW w:w="1170" w:type="dxa"/>
            <w:tcBorders>
              <w:top w:val="nil"/>
              <w:left w:val="nil"/>
              <w:bottom w:val="single" w:sz="4" w:space="0" w:color="auto"/>
              <w:right w:val="single" w:sz="4" w:space="0" w:color="auto"/>
            </w:tcBorders>
            <w:shd w:val="clear" w:color="auto" w:fill="auto"/>
            <w:vAlign w:val="center"/>
            <w:hideMark/>
          </w:tcPr>
          <w:p w14:paraId="5641AD41"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15</w:t>
            </w:r>
          </w:p>
        </w:tc>
        <w:tc>
          <w:tcPr>
            <w:tcW w:w="1080" w:type="dxa"/>
            <w:tcBorders>
              <w:top w:val="single" w:sz="4" w:space="0" w:color="auto"/>
              <w:left w:val="single" w:sz="4" w:space="0" w:color="auto"/>
              <w:bottom w:val="single" w:sz="4" w:space="0" w:color="auto"/>
              <w:right w:val="single" w:sz="4" w:space="0" w:color="auto"/>
            </w:tcBorders>
            <w:shd w:val="clear" w:color="000000" w:fill="FBC7C9"/>
            <w:vAlign w:val="center"/>
            <w:hideMark/>
          </w:tcPr>
          <w:p w14:paraId="30A085F5"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0.179</w:t>
            </w:r>
          </w:p>
        </w:tc>
        <w:tc>
          <w:tcPr>
            <w:tcW w:w="1170" w:type="dxa"/>
            <w:tcBorders>
              <w:top w:val="nil"/>
              <w:left w:val="nil"/>
              <w:bottom w:val="single" w:sz="4" w:space="0" w:color="auto"/>
              <w:right w:val="single" w:sz="4" w:space="0" w:color="auto"/>
            </w:tcBorders>
            <w:shd w:val="clear" w:color="auto" w:fill="auto"/>
            <w:noWrap/>
            <w:vAlign w:val="center"/>
            <w:hideMark/>
          </w:tcPr>
          <w:p w14:paraId="193FDEB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29</w:t>
            </w:r>
          </w:p>
        </w:tc>
        <w:tc>
          <w:tcPr>
            <w:tcW w:w="1170" w:type="dxa"/>
            <w:tcBorders>
              <w:top w:val="single" w:sz="4" w:space="0" w:color="auto"/>
              <w:left w:val="single" w:sz="4" w:space="0" w:color="auto"/>
              <w:bottom w:val="single" w:sz="4" w:space="0" w:color="auto"/>
              <w:right w:val="single" w:sz="4" w:space="0" w:color="auto"/>
            </w:tcBorders>
            <w:shd w:val="clear" w:color="000000" w:fill="FBC1C4"/>
            <w:noWrap/>
            <w:vAlign w:val="center"/>
            <w:hideMark/>
          </w:tcPr>
          <w:p w14:paraId="424F3293"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0.185</w:t>
            </w:r>
          </w:p>
        </w:tc>
      </w:tr>
      <w:tr w:rsidR="00D90724" w:rsidRPr="002510EF" w14:paraId="2B9A1D77" w14:textId="77777777" w:rsidTr="009E2243">
        <w:trPr>
          <w:trHeight w:hRule="exact" w:val="274"/>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7603C4D"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2011 Christchurch</w:t>
            </w:r>
          </w:p>
        </w:tc>
        <w:tc>
          <w:tcPr>
            <w:tcW w:w="865" w:type="dxa"/>
            <w:tcBorders>
              <w:top w:val="nil"/>
              <w:left w:val="nil"/>
              <w:bottom w:val="single" w:sz="4" w:space="0" w:color="auto"/>
              <w:right w:val="single" w:sz="4" w:space="0" w:color="auto"/>
            </w:tcBorders>
            <w:shd w:val="clear" w:color="auto" w:fill="auto"/>
            <w:noWrap/>
            <w:vAlign w:val="center"/>
            <w:hideMark/>
          </w:tcPr>
          <w:p w14:paraId="41F642B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6.2</w:t>
            </w:r>
          </w:p>
        </w:tc>
        <w:tc>
          <w:tcPr>
            <w:tcW w:w="990" w:type="dxa"/>
            <w:tcBorders>
              <w:top w:val="nil"/>
              <w:left w:val="nil"/>
              <w:bottom w:val="single" w:sz="4" w:space="0" w:color="auto"/>
              <w:right w:val="single" w:sz="4" w:space="0" w:color="auto"/>
            </w:tcBorders>
            <w:shd w:val="clear" w:color="auto" w:fill="auto"/>
            <w:noWrap/>
            <w:vAlign w:val="center"/>
            <w:hideMark/>
          </w:tcPr>
          <w:p w14:paraId="1F696FB9"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346</w:t>
            </w:r>
          </w:p>
        </w:tc>
        <w:tc>
          <w:tcPr>
            <w:tcW w:w="1170" w:type="dxa"/>
            <w:tcBorders>
              <w:top w:val="nil"/>
              <w:left w:val="nil"/>
              <w:bottom w:val="single" w:sz="4" w:space="0" w:color="auto"/>
              <w:right w:val="single" w:sz="4" w:space="0" w:color="auto"/>
            </w:tcBorders>
            <w:shd w:val="clear" w:color="auto" w:fill="auto"/>
            <w:vAlign w:val="center"/>
            <w:hideMark/>
          </w:tcPr>
          <w:p w14:paraId="2AEFC381"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17</w:t>
            </w:r>
          </w:p>
        </w:tc>
        <w:tc>
          <w:tcPr>
            <w:tcW w:w="1080" w:type="dxa"/>
            <w:tcBorders>
              <w:top w:val="single" w:sz="4" w:space="0" w:color="auto"/>
              <w:left w:val="single" w:sz="4" w:space="0" w:color="auto"/>
              <w:bottom w:val="single" w:sz="4" w:space="0" w:color="auto"/>
              <w:right w:val="single" w:sz="4" w:space="0" w:color="auto"/>
            </w:tcBorders>
            <w:shd w:val="clear" w:color="000000" w:fill="D6E1F1"/>
            <w:vAlign w:val="center"/>
            <w:hideMark/>
          </w:tcPr>
          <w:p w14:paraId="4B2C07A6"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-0.029</w:t>
            </w:r>
          </w:p>
        </w:tc>
        <w:tc>
          <w:tcPr>
            <w:tcW w:w="1170" w:type="dxa"/>
            <w:tcBorders>
              <w:top w:val="nil"/>
              <w:left w:val="nil"/>
              <w:bottom w:val="single" w:sz="4" w:space="0" w:color="auto"/>
              <w:right w:val="single" w:sz="4" w:space="0" w:color="auto"/>
            </w:tcBorders>
            <w:shd w:val="clear" w:color="auto" w:fill="auto"/>
            <w:noWrap/>
            <w:vAlign w:val="center"/>
            <w:hideMark/>
          </w:tcPr>
          <w:p w14:paraId="732E58B2"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22</w:t>
            </w:r>
          </w:p>
        </w:tc>
        <w:tc>
          <w:tcPr>
            <w:tcW w:w="1170" w:type="dxa"/>
            <w:tcBorders>
              <w:top w:val="single" w:sz="4" w:space="0" w:color="auto"/>
              <w:left w:val="single" w:sz="4" w:space="0" w:color="auto"/>
              <w:bottom w:val="single" w:sz="4" w:space="0" w:color="auto"/>
              <w:right w:val="single" w:sz="4" w:space="0" w:color="auto"/>
            </w:tcBorders>
            <w:shd w:val="clear" w:color="000000" w:fill="E1E9F5"/>
            <w:noWrap/>
            <w:vAlign w:val="center"/>
            <w:hideMark/>
          </w:tcPr>
          <w:p w14:paraId="540DAC5C"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-0.006</w:t>
            </w:r>
          </w:p>
        </w:tc>
      </w:tr>
      <w:tr w:rsidR="00D90724" w:rsidRPr="002510EF" w14:paraId="3F23823B" w14:textId="77777777" w:rsidTr="009E2243">
        <w:trPr>
          <w:trHeight w:hRule="exact" w:val="274"/>
          <w:jc w:val="center"/>
        </w:trPr>
        <w:tc>
          <w:tcPr>
            <w:tcW w:w="43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221D" w14:textId="77777777" w:rsidR="00D90724" w:rsidRPr="002510EF" w:rsidRDefault="00D90724" w:rsidP="00A317A0">
            <w:pPr>
              <w:spacing w:after="0" w:line="240" w:lineRule="auto"/>
              <w:ind w:firstLine="0"/>
              <w:jc w:val="center"/>
              <w:rPr>
                <w:rFonts w:ascii="Arial" w:hAnsi="Arial" w:cs="Arial"/>
                <w:b/>
                <w:bCs/>
                <w:color w:val="000000"/>
                <w:sz w:val="18"/>
                <w:szCs w:val="18"/>
              </w:rPr>
            </w:pPr>
            <w:r w:rsidRPr="002510EF">
              <w:rPr>
                <w:rFonts w:ascii="Arial" w:hAnsi="Arial" w:cs="Arial"/>
                <w:b/>
                <w:bCs/>
                <w:color w:val="000000"/>
                <w:sz w:val="18"/>
                <w:szCs w:val="18"/>
              </w:rPr>
              <w:t> </w:t>
            </w:r>
          </w:p>
        </w:tc>
        <w:tc>
          <w:tcPr>
            <w:tcW w:w="1170" w:type="dxa"/>
            <w:tcBorders>
              <w:top w:val="nil"/>
              <w:left w:val="nil"/>
              <w:bottom w:val="single" w:sz="4" w:space="0" w:color="auto"/>
              <w:right w:val="single" w:sz="4" w:space="0" w:color="auto"/>
            </w:tcBorders>
            <w:shd w:val="clear" w:color="auto" w:fill="auto"/>
            <w:vAlign w:val="center"/>
            <w:hideMark/>
          </w:tcPr>
          <w:p w14:paraId="264EA21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Mean:</w:t>
            </w:r>
          </w:p>
        </w:tc>
        <w:tc>
          <w:tcPr>
            <w:tcW w:w="1080" w:type="dxa"/>
            <w:tcBorders>
              <w:top w:val="single" w:sz="4" w:space="0" w:color="auto"/>
              <w:left w:val="single" w:sz="4" w:space="0" w:color="auto"/>
              <w:bottom w:val="single" w:sz="4" w:space="0" w:color="auto"/>
              <w:right w:val="single" w:sz="4" w:space="0" w:color="auto"/>
            </w:tcBorders>
            <w:shd w:val="clear" w:color="000000" w:fill="FCF2F5"/>
            <w:vAlign w:val="center"/>
            <w:hideMark/>
          </w:tcPr>
          <w:p w14:paraId="31ADAB0B"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0.092</w:t>
            </w:r>
          </w:p>
        </w:tc>
        <w:tc>
          <w:tcPr>
            <w:tcW w:w="1170" w:type="dxa"/>
            <w:tcBorders>
              <w:top w:val="nil"/>
              <w:left w:val="nil"/>
              <w:bottom w:val="single" w:sz="4" w:space="0" w:color="auto"/>
              <w:right w:val="single" w:sz="4" w:space="0" w:color="auto"/>
            </w:tcBorders>
            <w:shd w:val="clear" w:color="auto" w:fill="auto"/>
            <w:noWrap/>
            <w:vAlign w:val="center"/>
            <w:hideMark/>
          </w:tcPr>
          <w:p w14:paraId="6E87988A"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Mean:</w:t>
            </w:r>
          </w:p>
        </w:tc>
        <w:tc>
          <w:tcPr>
            <w:tcW w:w="1170" w:type="dxa"/>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62F3D447" w14:textId="77777777" w:rsidR="00D90724" w:rsidRPr="002510EF" w:rsidRDefault="00D90724" w:rsidP="00A317A0">
            <w:pPr>
              <w:spacing w:after="0" w:line="240" w:lineRule="auto"/>
              <w:ind w:firstLine="0"/>
              <w:jc w:val="center"/>
              <w:rPr>
                <w:rFonts w:ascii="Arial" w:hAnsi="Arial" w:cs="Arial"/>
                <w:color w:val="000000"/>
                <w:sz w:val="18"/>
                <w:szCs w:val="18"/>
              </w:rPr>
            </w:pPr>
            <w:r w:rsidRPr="002510EF">
              <w:rPr>
                <w:rFonts w:ascii="Arial" w:hAnsi="Arial" w:cs="Arial"/>
                <w:color w:val="000000"/>
                <w:sz w:val="18"/>
                <w:szCs w:val="18"/>
              </w:rPr>
              <w:t>0.076</w:t>
            </w:r>
          </w:p>
        </w:tc>
      </w:tr>
    </w:tbl>
    <w:p w14:paraId="737B3E31" w14:textId="57B6E2F4" w:rsidR="00D90724" w:rsidRPr="00D3677F" w:rsidRDefault="00935168" w:rsidP="00D90724">
      <w:pPr>
        <w:rPr>
          <w:b/>
          <w:bCs/>
        </w:rPr>
      </w:pPr>
      <w:r w:rsidRPr="00D3677F">
        <w:rPr>
          <w:b/>
          <w:bCs/>
        </w:rPr>
        <w:br/>
      </w:r>
      <w:r w:rsidR="00D90724" w:rsidRPr="00D3677F">
        <w:rPr>
          <w:b/>
          <w:bCs/>
        </w:rPr>
        <w:t>Neutrality of the Mean, All Events</w:t>
      </w:r>
    </w:p>
    <w:p w14:paraId="5FC00CE8" w14:textId="68417C4E" w:rsidR="00D90724" w:rsidRDefault="00D90724" w:rsidP="00D90724">
      <w:r>
        <w:t xml:space="preserve">Table </w:t>
      </w:r>
      <w:r w:rsidR="00935168">
        <w:t>B</w:t>
      </w:r>
      <w:r>
        <w:t xml:space="preserve">2 lists results for the 22 earthquakes evaluated by combining all the recording stations from each earthquake into distance bins, for T=3 seconds. Figure </w:t>
      </w:r>
      <w:r w:rsidR="00935168">
        <w:t>B2</w:t>
      </w:r>
      <w:r>
        <w:t xml:space="preserve"> shows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t xml:space="preserve"> 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e>
        </m:acc>
      </m:oMath>
      <w:r>
        <w:t xml:space="preserve"> (sample means of the median directivity effect at the NGA-W2 stations) in distance bins along with their 95% confidence intervals. When the 95% confidence intervals do not overlap zero, the sample means have a statistically significant difference from zero at the 95% confidence level. This figure shows that for most distance bins, the sample means of the median directivity adjustments from both models are not statistically significant from zero, indicating a neutral directivity condition. Exceptions are the distance bins 3-5 km, 10-15 km, and 40-60 km, where there is a small (statistically significant) bias towards the forward-directivity condition. There are no distance bins with a statistically significant bias towards backwards directivity. The Bea24 model has generally larger sample means than the CY14 model.</w:t>
      </w:r>
    </w:p>
    <w:p w14:paraId="796E524C" w14:textId="61072AD6" w:rsidR="00D90724" w:rsidRPr="00935168" w:rsidRDefault="00D90724" w:rsidP="00D90724">
      <w:pPr>
        <w:rPr>
          <w:rFonts w:eastAsiaTheme="minorEastAsia"/>
          <w:szCs w:val="22"/>
        </w:rPr>
      </w:pPr>
      <w:r>
        <w:t xml:space="preserve">The bottom of Table </w:t>
      </w:r>
      <w:r w:rsidR="00935168">
        <w:t>B</w:t>
      </w:r>
      <w:r>
        <w:t>2 lists the statistics for distance bins of 0-20 km, 0-40 km, and 0-100 km. All three bins have a small bias towards forward directivity (both models) with the largest of these for 0-20 km bin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0.051 ln units; 5.2% increase from neutral). </w:t>
      </w:r>
      <w:r>
        <w:t>All</w:t>
      </w:r>
      <w:r>
        <w:rPr>
          <w:rFonts w:eastAsiaTheme="minorEastAsia"/>
          <w:szCs w:val="22"/>
        </w:rPr>
        <w:t xml:space="preserve"> </w:t>
      </w:r>
      <w:r>
        <w:t xml:space="preserve">sites with </w:t>
      </w:r>
      <w:proofErr w:type="spellStart"/>
      <w:r>
        <w:t>R</w:t>
      </w:r>
      <w:r w:rsidRPr="00695D02">
        <w:rPr>
          <w:rFonts w:cs="Times New Roman (Body CS)"/>
          <w:vertAlign w:val="subscript"/>
        </w:rPr>
        <w:t>rup</w:t>
      </w:r>
      <w:proofErr w:type="spellEnd"/>
      <w:r>
        <w:t xml:space="preserve"> &lt; 40 km have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0.049 ln units (5.0%), and </w:t>
      </w:r>
      <w:r>
        <w:t xml:space="preserve">sites with </w:t>
      </w:r>
      <w:proofErr w:type="spellStart"/>
      <w:r>
        <w:t>R</w:t>
      </w:r>
      <w:r w:rsidRPr="00695D02">
        <w:rPr>
          <w:rFonts w:cs="Times New Roman (Body CS)"/>
          <w:vertAlign w:val="subscript"/>
        </w:rPr>
        <w:t>rup</w:t>
      </w:r>
      <w:proofErr w:type="spellEnd"/>
      <w:r>
        <w:t xml:space="preserve"> &lt; 100 km have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rPr>
          <w:rFonts w:eastAsiaTheme="minorEastAsia"/>
          <w:szCs w:val="22"/>
        </w:rPr>
        <w:t xml:space="preserve"> = 0.039 ln units (4.0%). </w:t>
      </w:r>
    </w:p>
    <w:p w14:paraId="18583515" w14:textId="5500A2BD" w:rsidR="00D90724" w:rsidRDefault="00D90724" w:rsidP="00D90724">
      <w:pPr>
        <w:pStyle w:val="Caption"/>
        <w:keepNext/>
      </w:pPr>
      <w:r w:rsidRPr="00006FF4">
        <w:rPr>
          <w:b/>
          <w:bCs/>
        </w:rPr>
        <w:t xml:space="preserve">Table </w:t>
      </w:r>
      <w:r w:rsidR="00AE018B" w:rsidRPr="00006FF4">
        <w:rPr>
          <w:b/>
          <w:bCs/>
        </w:rPr>
        <w:t>B2</w:t>
      </w:r>
      <w:r w:rsidRPr="00006FF4">
        <w:rPr>
          <w:b/>
          <w:bCs/>
        </w:rPr>
        <w:t>.</w:t>
      </w:r>
      <w:r>
        <w:t xml:space="preserve"> Results by distance bin for the 22 earthquakes listed in Table </w:t>
      </w:r>
      <w:r w:rsidR="00AE018B">
        <w:t>B</w:t>
      </w:r>
      <w:r>
        <w:t xml:space="preserve">1. </w:t>
      </w:r>
    </w:p>
    <w:tbl>
      <w:tblPr>
        <w:tblStyle w:val="GridTable1Light"/>
        <w:tblW w:w="8905" w:type="dxa"/>
        <w:jc w:val="center"/>
        <w:tblLook w:val="04A0" w:firstRow="1" w:lastRow="0" w:firstColumn="1" w:lastColumn="0" w:noHBand="0" w:noVBand="1"/>
      </w:tblPr>
      <w:tblGrid>
        <w:gridCol w:w="1530"/>
        <w:gridCol w:w="1295"/>
        <w:gridCol w:w="980"/>
        <w:gridCol w:w="980"/>
        <w:gridCol w:w="980"/>
        <w:gridCol w:w="980"/>
        <w:gridCol w:w="2160"/>
      </w:tblGrid>
      <w:tr w:rsidR="00D90724" w:rsidRPr="00FC5844" w14:paraId="0AC2787F" w14:textId="77777777" w:rsidTr="00A317A0">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hideMark/>
          </w:tcPr>
          <w:p w14:paraId="0AF929B1" w14:textId="77777777" w:rsidR="00D90724" w:rsidRPr="00AB7DE2" w:rsidRDefault="00D90724" w:rsidP="00A317A0">
            <w:pPr>
              <w:spacing w:line="240" w:lineRule="auto"/>
              <w:ind w:firstLine="0"/>
              <w:jc w:val="center"/>
              <w:rPr>
                <w:rFonts w:cs="Arial"/>
                <w:color w:val="000000"/>
                <w:sz w:val="18"/>
                <w:szCs w:val="18"/>
              </w:rPr>
            </w:pPr>
            <w:proofErr w:type="spellStart"/>
            <w:r w:rsidRPr="00AB7DE2">
              <w:rPr>
                <w:rFonts w:cs="Arial"/>
                <w:color w:val="000000"/>
                <w:sz w:val="18"/>
                <w:szCs w:val="18"/>
              </w:rPr>
              <w:t>R</w:t>
            </w:r>
            <w:r w:rsidRPr="00AB7DE2">
              <w:rPr>
                <w:rFonts w:cs="Arial"/>
                <w:color w:val="000000"/>
                <w:sz w:val="18"/>
                <w:szCs w:val="18"/>
                <w:vertAlign w:val="subscript"/>
              </w:rPr>
              <w:t>rup</w:t>
            </w:r>
            <w:proofErr w:type="spellEnd"/>
            <w:r w:rsidRPr="00AB7DE2">
              <w:rPr>
                <w:rFonts w:cs="Arial"/>
                <w:color w:val="000000"/>
                <w:sz w:val="18"/>
                <w:szCs w:val="18"/>
              </w:rPr>
              <w:t xml:space="preserve"> bin (km)</w:t>
            </w:r>
          </w:p>
        </w:tc>
        <w:tc>
          <w:tcPr>
            <w:tcW w:w="1295" w:type="dxa"/>
            <w:vMerge w:val="restart"/>
            <w:vAlign w:val="center"/>
            <w:hideMark/>
          </w:tcPr>
          <w:p w14:paraId="13C13495" w14:textId="77777777" w:rsidR="00D90724" w:rsidRPr="00AB7DE2" w:rsidRDefault="00D90724" w:rsidP="00A317A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AB7DE2">
              <w:rPr>
                <w:rFonts w:cs="Arial"/>
                <w:color w:val="000000"/>
                <w:sz w:val="18"/>
                <w:szCs w:val="18"/>
              </w:rPr>
              <w:t>N</w:t>
            </w:r>
            <w:r>
              <w:rPr>
                <w:rFonts w:cs="Arial"/>
                <w:color w:val="000000"/>
                <w:sz w:val="18"/>
                <w:szCs w:val="18"/>
              </w:rPr>
              <w:t>o.</w:t>
            </w:r>
            <w:r w:rsidRPr="00AB7DE2">
              <w:rPr>
                <w:rFonts w:cs="Arial"/>
                <w:color w:val="000000"/>
                <w:sz w:val="18"/>
                <w:szCs w:val="18"/>
              </w:rPr>
              <w:t xml:space="preserve"> of NGA-W2 stations </w:t>
            </w:r>
            <w:r w:rsidRPr="00AB7DE2">
              <w:rPr>
                <w:rFonts w:cs="Arial"/>
                <w:color w:val="000000"/>
                <w:sz w:val="18"/>
                <w:szCs w:val="18"/>
              </w:rPr>
              <w:lastRenderedPageBreak/>
              <w:t>in distance bin</w:t>
            </w:r>
          </w:p>
        </w:tc>
        <w:tc>
          <w:tcPr>
            <w:tcW w:w="3920" w:type="dxa"/>
            <w:gridSpan w:val="4"/>
            <w:vAlign w:val="center"/>
          </w:tcPr>
          <w:p w14:paraId="760B0454" w14:textId="77777777" w:rsidR="00D90724" w:rsidRPr="005005C0" w:rsidRDefault="00D90724" w:rsidP="00A317A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5005C0">
              <w:rPr>
                <w:rFonts w:cs="Arial"/>
                <w:color w:val="000000"/>
                <w:sz w:val="18"/>
                <w:szCs w:val="18"/>
              </w:rPr>
              <w:lastRenderedPageBreak/>
              <w:t>Sample mean</w:t>
            </w:r>
            <w:r>
              <w:rPr>
                <w:rFonts w:cs="Arial"/>
                <w:color w:val="000000"/>
                <w:sz w:val="18"/>
                <w:szCs w:val="18"/>
              </w:rPr>
              <w:t>s</w:t>
            </w:r>
            <w:r w:rsidRPr="005005C0">
              <w:rPr>
                <w:rFonts w:cs="Arial"/>
                <w:color w:val="000000"/>
                <w:sz w:val="18"/>
                <w:szCs w:val="18"/>
              </w:rPr>
              <w:t xml:space="preserve"> and standard deviations;</w:t>
            </w:r>
            <w:r w:rsidRPr="005005C0">
              <w:rPr>
                <w:rFonts w:cs="Arial"/>
                <w:color w:val="000000"/>
                <w:sz w:val="18"/>
                <w:szCs w:val="18"/>
              </w:rPr>
              <w:br/>
            </w:r>
            <w:r>
              <w:rPr>
                <w:rFonts w:cs="Arial"/>
                <w:color w:val="000000"/>
                <w:sz w:val="18"/>
                <w:szCs w:val="18"/>
              </w:rPr>
              <w:t>f</w:t>
            </w:r>
            <w:r w:rsidRPr="005005C0">
              <w:rPr>
                <w:rFonts w:cs="Arial"/>
                <w:color w:val="000000"/>
                <w:sz w:val="18"/>
                <w:szCs w:val="18"/>
              </w:rPr>
              <w:t>rom NGA-W2 stations</w:t>
            </w:r>
          </w:p>
        </w:tc>
        <w:tc>
          <w:tcPr>
            <w:tcW w:w="2160" w:type="dxa"/>
            <w:vAlign w:val="center"/>
            <w:hideMark/>
          </w:tcPr>
          <w:p w14:paraId="1FB2004E" w14:textId="77777777" w:rsidR="00D90724" w:rsidRPr="00AB7DE2" w:rsidRDefault="00D90724" w:rsidP="00A317A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Population standard deviation;</w:t>
            </w:r>
            <w:r>
              <w:rPr>
                <w:rFonts w:cs="Arial"/>
                <w:color w:val="000000"/>
                <w:sz w:val="18"/>
                <w:szCs w:val="18"/>
              </w:rPr>
              <w:br/>
              <w:t>f</w:t>
            </w:r>
            <w:r w:rsidRPr="00AB7DE2">
              <w:rPr>
                <w:rFonts w:cs="Arial"/>
                <w:color w:val="000000"/>
                <w:sz w:val="18"/>
                <w:szCs w:val="18"/>
              </w:rPr>
              <w:t>rom gridded stations</w:t>
            </w:r>
          </w:p>
        </w:tc>
      </w:tr>
      <w:tr w:rsidR="00D90724" w:rsidRPr="00FC5844" w14:paraId="61471AB7" w14:textId="77777777" w:rsidTr="00A317A0">
        <w:trPr>
          <w:trHeight w:val="366"/>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14:paraId="6195508A" w14:textId="77777777" w:rsidR="00D90724" w:rsidRPr="00AB7DE2" w:rsidRDefault="00D90724" w:rsidP="00A317A0">
            <w:pPr>
              <w:spacing w:line="240" w:lineRule="auto"/>
              <w:ind w:firstLine="0"/>
              <w:jc w:val="center"/>
              <w:rPr>
                <w:rFonts w:cs="Arial"/>
                <w:color w:val="000000"/>
                <w:sz w:val="18"/>
                <w:szCs w:val="18"/>
              </w:rPr>
            </w:pPr>
          </w:p>
        </w:tc>
        <w:tc>
          <w:tcPr>
            <w:tcW w:w="1295" w:type="dxa"/>
            <w:vMerge/>
            <w:vAlign w:val="center"/>
          </w:tcPr>
          <w:p w14:paraId="383FA503" w14:textId="77777777" w:rsidR="00D90724" w:rsidRPr="00AB7DE2" w:rsidRDefault="00D90724" w:rsidP="00A317A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c>
          <w:tcPr>
            <w:tcW w:w="980" w:type="dxa"/>
            <w:vAlign w:val="center"/>
          </w:tcPr>
          <w:p w14:paraId="7CAA269F" w14:textId="77777777" w:rsidR="00D90724" w:rsidRPr="00AB7DE2" w:rsidRDefault="00D90724" w:rsidP="00A317A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 xml:space="preserve">Bea24: </w:t>
            </w:r>
            <w:r>
              <w:rPr>
                <w:rFonts w:cs="Arial"/>
                <w:color w:val="000000"/>
                <w:sz w:val="18"/>
                <w:szCs w:val="18"/>
              </w:rPr>
              <w:br/>
            </w:r>
            <w:r>
              <w:rPr>
                <w:rFonts w:cs="Arial"/>
                <w:color w:val="000000"/>
                <w:sz w:val="18"/>
                <w:szCs w:val="18"/>
              </w:rPr>
              <w:br/>
            </w:r>
            <m:oMath>
              <m:acc>
                <m:accPr>
                  <m:chr m:val="̅"/>
                  <m:ctrlPr>
                    <w:rPr>
                      <w:rFonts w:ascii="Cambria Math" w:hAnsi="Cambria Math" w:cs="Arial"/>
                      <w:i/>
                      <w:color w:val="000000"/>
                      <w:sz w:val="18"/>
                      <w:szCs w:val="18"/>
                    </w:rPr>
                  </m:ctrlPr>
                </m:accPr>
                <m:e>
                  <m:sSub>
                    <m:sSubPr>
                      <m:ctrlPr>
                        <w:rPr>
                          <w:rFonts w:ascii="Cambria Math" w:hAnsi="Cambria Math" w:cs="Arial"/>
                          <w:i/>
                          <w:color w:val="000000"/>
                          <w:sz w:val="18"/>
                          <w:szCs w:val="18"/>
                        </w:rPr>
                      </m:ctrlPr>
                    </m:sSubPr>
                    <m:e>
                      <m:r>
                        <w:rPr>
                          <w:rFonts w:ascii="Cambria Math" w:hAnsi="Cambria Math" w:cs="Arial"/>
                          <w:color w:val="000000"/>
                          <w:sz w:val="18"/>
                          <w:szCs w:val="18"/>
                        </w:rPr>
                        <m:t>f</m:t>
                      </m:r>
                    </m:e>
                    <m:sub>
                      <m:r>
                        <w:rPr>
                          <w:rFonts w:ascii="Cambria Math" w:hAnsi="Cambria Math" w:cs="Arial"/>
                          <w:color w:val="000000"/>
                          <w:sz w:val="18"/>
                          <w:szCs w:val="18"/>
                        </w:rPr>
                        <m:t>D</m:t>
                      </m:r>
                    </m:sub>
                  </m:sSub>
                </m:e>
              </m:acc>
              <m:r>
                <w:rPr>
                  <w:rFonts w:ascii="Cambria Math" w:hAnsi="Cambria Math" w:cs="Arial"/>
                  <w:color w:val="000000"/>
                  <w:sz w:val="18"/>
                  <w:szCs w:val="18"/>
                </w:rPr>
                <m:t xml:space="preserve"> </m:t>
              </m:r>
            </m:oMath>
            <w:r w:rsidRPr="00AB7DE2">
              <w:rPr>
                <w:rFonts w:cs="Arial"/>
                <w:color w:val="000000"/>
                <w:sz w:val="18"/>
                <w:szCs w:val="18"/>
              </w:rPr>
              <w:t>(ln)</w:t>
            </w:r>
          </w:p>
        </w:tc>
        <w:tc>
          <w:tcPr>
            <w:tcW w:w="980" w:type="dxa"/>
            <w:vAlign w:val="center"/>
          </w:tcPr>
          <w:p w14:paraId="2698AD5B" w14:textId="77777777" w:rsidR="00D90724" w:rsidRPr="005005C0" w:rsidRDefault="00D90724" w:rsidP="00A317A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3"/>
                <w:szCs w:val="13"/>
              </w:rPr>
            </w:pPr>
            <w:r>
              <w:rPr>
                <w:rFonts w:cs="Arial"/>
                <w:sz w:val="18"/>
                <w:szCs w:val="18"/>
              </w:rPr>
              <w:t xml:space="preserve">Bea24: </w:t>
            </w:r>
            <w:r>
              <w:rPr>
                <w:rFonts w:cs="Arial"/>
                <w:sz w:val="18"/>
                <w:szCs w:val="18"/>
              </w:rPr>
              <w:br/>
            </w:r>
            <w:r>
              <w:rPr>
                <w:rFonts w:cs="Arial"/>
                <w:sz w:val="18"/>
                <w:szCs w:val="18"/>
              </w:rPr>
              <w:br/>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fD</m:t>
                  </m:r>
                </m:sub>
              </m:sSub>
              <m:r>
                <w:rPr>
                  <w:rFonts w:ascii="Cambria Math" w:hAnsi="Cambria Math"/>
                  <w:sz w:val="18"/>
                  <w:szCs w:val="18"/>
                </w:rPr>
                <m:t xml:space="preserve"> </m:t>
              </m:r>
            </m:oMath>
            <w:r w:rsidRPr="00AB7DE2">
              <w:rPr>
                <w:rFonts w:cs="Arial"/>
                <w:color w:val="000000"/>
                <w:sz w:val="18"/>
                <w:szCs w:val="18"/>
              </w:rPr>
              <w:t>(ln)</w:t>
            </w:r>
          </w:p>
        </w:tc>
        <w:tc>
          <w:tcPr>
            <w:tcW w:w="980" w:type="dxa"/>
            <w:vAlign w:val="center"/>
          </w:tcPr>
          <w:p w14:paraId="4A3F3ED2" w14:textId="77777777" w:rsidR="00D90724" w:rsidRPr="00AB7DE2" w:rsidRDefault="00D90724" w:rsidP="00A317A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 xml:space="preserve">CY14: </w:t>
            </w:r>
            <w:r>
              <w:rPr>
                <w:rFonts w:cs="Arial"/>
                <w:color w:val="000000"/>
                <w:sz w:val="18"/>
                <w:szCs w:val="18"/>
              </w:rPr>
              <w:br/>
            </w:r>
            <w:r>
              <w:rPr>
                <w:rFonts w:cs="Arial"/>
                <w:color w:val="000000"/>
                <w:sz w:val="18"/>
                <w:szCs w:val="18"/>
              </w:rPr>
              <w:br/>
            </w:r>
            <m:oMath>
              <m:acc>
                <m:accPr>
                  <m:chr m:val="̅"/>
                  <m:ctrlPr>
                    <w:rPr>
                      <w:rFonts w:ascii="Cambria Math" w:hAnsi="Cambria Math" w:cs="Arial"/>
                      <w:i/>
                      <w:color w:val="000000"/>
                      <w:sz w:val="18"/>
                      <w:szCs w:val="18"/>
                    </w:rPr>
                  </m:ctrlPr>
                </m:accPr>
                <m:e>
                  <m:sSub>
                    <m:sSubPr>
                      <m:ctrlPr>
                        <w:rPr>
                          <w:rFonts w:ascii="Cambria Math" w:hAnsi="Cambria Math" w:cs="Arial"/>
                          <w:i/>
                          <w:color w:val="000000"/>
                          <w:sz w:val="18"/>
                          <w:szCs w:val="18"/>
                        </w:rPr>
                      </m:ctrlPr>
                    </m:sSubPr>
                    <m:e>
                      <m:r>
                        <w:rPr>
                          <w:rFonts w:ascii="Cambria Math" w:hAnsi="Cambria Math" w:cs="Arial"/>
                          <w:color w:val="000000"/>
                          <w:sz w:val="18"/>
                          <w:szCs w:val="18"/>
                        </w:rPr>
                        <m:t>f</m:t>
                      </m:r>
                    </m:e>
                    <m:sub>
                      <m:r>
                        <w:rPr>
                          <w:rFonts w:ascii="Cambria Math" w:hAnsi="Cambria Math" w:cs="Arial"/>
                          <w:color w:val="000000"/>
                          <w:sz w:val="18"/>
                          <w:szCs w:val="18"/>
                        </w:rPr>
                        <m:t>DPP</m:t>
                      </m:r>
                    </m:sub>
                  </m:sSub>
                </m:e>
              </m:acc>
              <m:r>
                <w:rPr>
                  <w:rFonts w:ascii="Cambria Math" w:hAnsi="Cambria Math" w:cs="Arial"/>
                  <w:color w:val="000000"/>
                  <w:sz w:val="18"/>
                  <w:szCs w:val="18"/>
                </w:rPr>
                <m:t xml:space="preserve"> </m:t>
              </m:r>
            </m:oMath>
            <w:r w:rsidRPr="00AB7DE2">
              <w:rPr>
                <w:rFonts w:cs="Arial"/>
                <w:color w:val="000000"/>
                <w:sz w:val="18"/>
                <w:szCs w:val="18"/>
              </w:rPr>
              <w:t>(ln)</w:t>
            </w:r>
          </w:p>
        </w:tc>
        <w:tc>
          <w:tcPr>
            <w:tcW w:w="980" w:type="dxa"/>
            <w:vAlign w:val="center"/>
          </w:tcPr>
          <w:p w14:paraId="7759D20E" w14:textId="77777777" w:rsidR="00D90724" w:rsidRPr="005005C0" w:rsidRDefault="00D90724" w:rsidP="00A317A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rPr>
              <w:t xml:space="preserve">CY14: </w:t>
            </w:r>
            <w:r>
              <w:rPr>
                <w:rFonts w:cs="Arial"/>
                <w:sz w:val="18"/>
                <w:szCs w:val="18"/>
              </w:rPr>
              <w:br/>
            </w:r>
            <w:r>
              <w:rPr>
                <w:rFonts w:cs="Arial"/>
                <w:sz w:val="18"/>
                <w:szCs w:val="18"/>
              </w:rPr>
              <w:br/>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fDPP</m:t>
                  </m:r>
                </m:sub>
              </m:sSub>
              <m:r>
                <w:rPr>
                  <w:rFonts w:ascii="Cambria Math" w:hAnsi="Cambria Math"/>
                  <w:sz w:val="18"/>
                  <w:szCs w:val="18"/>
                </w:rPr>
                <m:t xml:space="preserve"> </m:t>
              </m:r>
            </m:oMath>
            <w:r w:rsidRPr="00AB7DE2">
              <w:rPr>
                <w:rFonts w:cs="Arial"/>
                <w:color w:val="000000"/>
                <w:sz w:val="18"/>
                <w:szCs w:val="18"/>
              </w:rPr>
              <w:t>(ln)</w:t>
            </w:r>
          </w:p>
        </w:tc>
        <w:tc>
          <w:tcPr>
            <w:tcW w:w="2160" w:type="dxa"/>
            <w:vAlign w:val="center"/>
          </w:tcPr>
          <w:p w14:paraId="4BDC6623" w14:textId="77777777" w:rsidR="00D90724" w:rsidRPr="00541421" w:rsidRDefault="00D90724" w:rsidP="00A317A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rPr>
              <w:t>Bea24:</w:t>
            </w:r>
            <w:r>
              <w:rPr>
                <w:rFonts w:cs="Arial"/>
                <w:sz w:val="18"/>
                <w:szCs w:val="18"/>
              </w:rPr>
              <w:br/>
            </w:r>
            <w:r>
              <w:rPr>
                <w:rFonts w:cs="Arial"/>
                <w:sz w:val="18"/>
                <w:szCs w:val="18"/>
              </w:rPr>
              <w:br/>
            </w:r>
            <m:oMath>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fD</m:t>
                  </m:r>
                </m:sub>
              </m:sSub>
              <m:r>
                <w:rPr>
                  <w:rFonts w:ascii="Cambria Math" w:hAnsi="Cambria Math"/>
                  <w:sz w:val="18"/>
                  <w:szCs w:val="18"/>
                </w:rPr>
                <m:t xml:space="preserve"> </m:t>
              </m:r>
            </m:oMath>
            <w:r w:rsidRPr="00AB7DE2">
              <w:rPr>
                <w:rFonts w:cs="Arial"/>
                <w:color w:val="000000"/>
                <w:sz w:val="18"/>
                <w:szCs w:val="18"/>
              </w:rPr>
              <w:t>(ln)</w:t>
            </w:r>
          </w:p>
        </w:tc>
      </w:tr>
      <w:tr w:rsidR="00D90724" w:rsidRPr="00FC5844" w14:paraId="6B06AC78"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FD8BBB0"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1</w:t>
            </w:r>
          </w:p>
        </w:tc>
        <w:tc>
          <w:tcPr>
            <w:tcW w:w="1295" w:type="dxa"/>
            <w:noWrap/>
            <w:vAlign w:val="center"/>
          </w:tcPr>
          <w:p w14:paraId="38A54DA4"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12</w:t>
            </w:r>
          </w:p>
        </w:tc>
        <w:tc>
          <w:tcPr>
            <w:tcW w:w="980" w:type="dxa"/>
            <w:shd w:val="clear" w:color="auto" w:fill="FDDADC"/>
            <w:noWrap/>
            <w:vAlign w:val="center"/>
          </w:tcPr>
          <w:p w14:paraId="38A06C6A"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0.071</w:t>
            </w:r>
          </w:p>
        </w:tc>
        <w:tc>
          <w:tcPr>
            <w:tcW w:w="980" w:type="dxa"/>
            <w:noWrap/>
            <w:vAlign w:val="center"/>
          </w:tcPr>
          <w:p w14:paraId="7D6BDE32"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0.243</w:t>
            </w:r>
          </w:p>
        </w:tc>
        <w:tc>
          <w:tcPr>
            <w:tcW w:w="980" w:type="dxa"/>
            <w:shd w:val="clear" w:color="auto" w:fill="FCECEE"/>
            <w:vAlign w:val="center"/>
          </w:tcPr>
          <w:p w14:paraId="2E380D24"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0.036</w:t>
            </w:r>
          </w:p>
        </w:tc>
        <w:tc>
          <w:tcPr>
            <w:tcW w:w="980" w:type="dxa"/>
            <w:noWrap/>
            <w:vAlign w:val="center"/>
          </w:tcPr>
          <w:p w14:paraId="375CE3FD"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0.198</w:t>
            </w:r>
          </w:p>
        </w:tc>
        <w:tc>
          <w:tcPr>
            <w:tcW w:w="2160" w:type="dxa"/>
            <w:noWrap/>
            <w:vAlign w:val="center"/>
          </w:tcPr>
          <w:p w14:paraId="01A32673"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0.173</w:t>
            </w:r>
          </w:p>
        </w:tc>
      </w:tr>
      <w:tr w:rsidR="00D90724" w:rsidRPr="00CB23EF" w14:paraId="19286A49"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tcPr>
          <w:p w14:paraId="7A135541"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1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3</w:t>
            </w:r>
          </w:p>
        </w:tc>
        <w:tc>
          <w:tcPr>
            <w:tcW w:w="1295" w:type="dxa"/>
            <w:noWrap/>
            <w:vAlign w:val="center"/>
          </w:tcPr>
          <w:p w14:paraId="52BA85F0" w14:textId="77777777" w:rsidR="00D90724" w:rsidRPr="00CB23EF"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26</w:t>
            </w:r>
          </w:p>
        </w:tc>
        <w:tc>
          <w:tcPr>
            <w:tcW w:w="980" w:type="dxa"/>
            <w:shd w:val="clear" w:color="auto" w:fill="FDE9EB"/>
            <w:noWrap/>
            <w:vAlign w:val="center"/>
          </w:tcPr>
          <w:p w14:paraId="58B1349C" w14:textId="77777777" w:rsidR="00D90724" w:rsidRPr="00CB23EF"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0.042</w:t>
            </w:r>
          </w:p>
        </w:tc>
        <w:tc>
          <w:tcPr>
            <w:tcW w:w="980" w:type="dxa"/>
            <w:noWrap/>
            <w:vAlign w:val="center"/>
          </w:tcPr>
          <w:p w14:paraId="213C1825" w14:textId="77777777" w:rsidR="00D90724" w:rsidRPr="00CB23EF"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0.230</w:t>
            </w:r>
          </w:p>
        </w:tc>
        <w:tc>
          <w:tcPr>
            <w:tcW w:w="980" w:type="dxa"/>
            <w:shd w:val="clear" w:color="auto" w:fill="F9FAFF"/>
            <w:vAlign w:val="center"/>
          </w:tcPr>
          <w:p w14:paraId="19770442"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-0.003</w:t>
            </w:r>
          </w:p>
        </w:tc>
        <w:tc>
          <w:tcPr>
            <w:tcW w:w="980" w:type="dxa"/>
            <w:noWrap/>
            <w:vAlign w:val="center"/>
          </w:tcPr>
          <w:p w14:paraId="05EB1007" w14:textId="77777777" w:rsidR="00D90724" w:rsidRPr="00CB23EF"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0.130</w:t>
            </w:r>
          </w:p>
        </w:tc>
        <w:tc>
          <w:tcPr>
            <w:tcW w:w="2160" w:type="dxa"/>
            <w:noWrap/>
            <w:vAlign w:val="center"/>
          </w:tcPr>
          <w:p w14:paraId="25D28AED" w14:textId="77777777" w:rsidR="00D90724" w:rsidRPr="00CB23EF"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0.192</w:t>
            </w:r>
          </w:p>
        </w:tc>
      </w:tr>
      <w:tr w:rsidR="00D90724" w:rsidRPr="00FC5844" w14:paraId="6AE55915"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E82313C"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3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5</w:t>
            </w:r>
          </w:p>
        </w:tc>
        <w:tc>
          <w:tcPr>
            <w:tcW w:w="1295" w:type="dxa"/>
            <w:noWrap/>
            <w:vAlign w:val="center"/>
          </w:tcPr>
          <w:p w14:paraId="23A7A5E9"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29</w:t>
            </w:r>
          </w:p>
        </w:tc>
        <w:tc>
          <w:tcPr>
            <w:tcW w:w="980" w:type="dxa"/>
            <w:shd w:val="clear" w:color="auto" w:fill="FCCCD0"/>
            <w:noWrap/>
            <w:vAlign w:val="center"/>
          </w:tcPr>
          <w:p w14:paraId="7194B0AF"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0.098</w:t>
            </w:r>
          </w:p>
        </w:tc>
        <w:tc>
          <w:tcPr>
            <w:tcW w:w="980" w:type="dxa"/>
            <w:noWrap/>
            <w:vAlign w:val="center"/>
          </w:tcPr>
          <w:p w14:paraId="704B2FFE"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0.190</w:t>
            </w:r>
          </w:p>
        </w:tc>
        <w:tc>
          <w:tcPr>
            <w:tcW w:w="980" w:type="dxa"/>
            <w:shd w:val="clear" w:color="auto" w:fill="FCF1F5"/>
            <w:vAlign w:val="center"/>
          </w:tcPr>
          <w:p w14:paraId="0F7D1E62"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0.023</w:t>
            </w:r>
          </w:p>
        </w:tc>
        <w:tc>
          <w:tcPr>
            <w:tcW w:w="980" w:type="dxa"/>
            <w:noWrap/>
            <w:vAlign w:val="center"/>
          </w:tcPr>
          <w:p w14:paraId="4E0359DC"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0.091</w:t>
            </w:r>
          </w:p>
        </w:tc>
        <w:tc>
          <w:tcPr>
            <w:tcW w:w="2160" w:type="dxa"/>
            <w:noWrap/>
            <w:vAlign w:val="center"/>
          </w:tcPr>
          <w:p w14:paraId="719B38F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0.209</w:t>
            </w:r>
          </w:p>
        </w:tc>
      </w:tr>
      <w:tr w:rsidR="00D90724" w:rsidRPr="00FC5844" w14:paraId="0E0CE4EC"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B97767B"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5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10</w:t>
            </w:r>
          </w:p>
        </w:tc>
        <w:tc>
          <w:tcPr>
            <w:tcW w:w="1295" w:type="dxa"/>
            <w:noWrap/>
            <w:vAlign w:val="center"/>
          </w:tcPr>
          <w:p w14:paraId="7CA956A0"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62</w:t>
            </w:r>
          </w:p>
        </w:tc>
        <w:tc>
          <w:tcPr>
            <w:tcW w:w="980" w:type="dxa"/>
            <w:shd w:val="clear" w:color="auto" w:fill="E8EEF8"/>
            <w:noWrap/>
            <w:vAlign w:val="center"/>
          </w:tcPr>
          <w:p w14:paraId="076D216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-0.024</w:t>
            </w:r>
          </w:p>
        </w:tc>
        <w:tc>
          <w:tcPr>
            <w:tcW w:w="980" w:type="dxa"/>
            <w:noWrap/>
            <w:vAlign w:val="center"/>
          </w:tcPr>
          <w:p w14:paraId="00A727D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0.253</w:t>
            </w:r>
          </w:p>
        </w:tc>
        <w:tc>
          <w:tcPr>
            <w:tcW w:w="980" w:type="dxa"/>
            <w:shd w:val="clear" w:color="auto" w:fill="EFF2FA"/>
            <w:vAlign w:val="center"/>
          </w:tcPr>
          <w:p w14:paraId="27B01828"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-0.017</w:t>
            </w:r>
          </w:p>
        </w:tc>
        <w:tc>
          <w:tcPr>
            <w:tcW w:w="980" w:type="dxa"/>
            <w:noWrap/>
            <w:vAlign w:val="center"/>
          </w:tcPr>
          <w:p w14:paraId="299B8116"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0.119</w:t>
            </w:r>
          </w:p>
        </w:tc>
        <w:tc>
          <w:tcPr>
            <w:tcW w:w="2160" w:type="dxa"/>
            <w:noWrap/>
            <w:vAlign w:val="center"/>
          </w:tcPr>
          <w:p w14:paraId="4DB40411"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0.220</w:t>
            </w:r>
          </w:p>
        </w:tc>
      </w:tr>
      <w:tr w:rsidR="00D90724" w:rsidRPr="00FC5844" w14:paraId="7E5886C3"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FB6DA59"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10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15</w:t>
            </w:r>
          </w:p>
        </w:tc>
        <w:tc>
          <w:tcPr>
            <w:tcW w:w="1295" w:type="dxa"/>
            <w:noWrap/>
            <w:vAlign w:val="center"/>
          </w:tcPr>
          <w:p w14:paraId="44E34D0B"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45</w:t>
            </w:r>
          </w:p>
        </w:tc>
        <w:tc>
          <w:tcPr>
            <w:tcW w:w="980" w:type="dxa"/>
            <w:shd w:val="clear" w:color="auto" w:fill="FCBDBF"/>
            <w:noWrap/>
            <w:vAlign w:val="center"/>
          </w:tcPr>
          <w:p w14:paraId="5F0F6820"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0.131</w:t>
            </w:r>
          </w:p>
        </w:tc>
        <w:tc>
          <w:tcPr>
            <w:tcW w:w="980" w:type="dxa"/>
            <w:noWrap/>
            <w:vAlign w:val="center"/>
          </w:tcPr>
          <w:p w14:paraId="6D1A7840"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0.255</w:t>
            </w:r>
          </w:p>
        </w:tc>
        <w:tc>
          <w:tcPr>
            <w:tcW w:w="980" w:type="dxa"/>
            <w:shd w:val="clear" w:color="auto" w:fill="FDE2E5"/>
            <w:vAlign w:val="center"/>
          </w:tcPr>
          <w:p w14:paraId="2B842D48"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0.054</w:t>
            </w:r>
          </w:p>
        </w:tc>
        <w:tc>
          <w:tcPr>
            <w:tcW w:w="980" w:type="dxa"/>
            <w:noWrap/>
            <w:vAlign w:val="center"/>
          </w:tcPr>
          <w:p w14:paraId="08C9EAB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0.179</w:t>
            </w:r>
          </w:p>
        </w:tc>
        <w:tc>
          <w:tcPr>
            <w:tcW w:w="2160" w:type="dxa"/>
            <w:noWrap/>
            <w:vAlign w:val="center"/>
          </w:tcPr>
          <w:p w14:paraId="453E33DD"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0.221</w:t>
            </w:r>
          </w:p>
        </w:tc>
      </w:tr>
      <w:tr w:rsidR="00D90724" w:rsidRPr="00FC5844" w14:paraId="56194714"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536F31C"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15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20</w:t>
            </w:r>
          </w:p>
        </w:tc>
        <w:tc>
          <w:tcPr>
            <w:tcW w:w="1295" w:type="dxa"/>
            <w:noWrap/>
            <w:vAlign w:val="center"/>
          </w:tcPr>
          <w:p w14:paraId="48192DD9"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58</w:t>
            </w:r>
          </w:p>
        </w:tc>
        <w:tc>
          <w:tcPr>
            <w:tcW w:w="980" w:type="dxa"/>
            <w:shd w:val="clear" w:color="auto" w:fill="FCE6E8"/>
            <w:noWrap/>
            <w:vAlign w:val="center"/>
          </w:tcPr>
          <w:p w14:paraId="0900ABE9"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0.047</w:t>
            </w:r>
          </w:p>
        </w:tc>
        <w:tc>
          <w:tcPr>
            <w:tcW w:w="980" w:type="dxa"/>
            <w:noWrap/>
            <w:vAlign w:val="center"/>
          </w:tcPr>
          <w:p w14:paraId="79CFC775"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0.210</w:t>
            </w:r>
          </w:p>
        </w:tc>
        <w:tc>
          <w:tcPr>
            <w:tcW w:w="980" w:type="dxa"/>
            <w:shd w:val="clear" w:color="auto" w:fill="FCF8FC"/>
            <w:vAlign w:val="center"/>
          </w:tcPr>
          <w:p w14:paraId="3323CE16"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0.010</w:t>
            </w:r>
          </w:p>
        </w:tc>
        <w:tc>
          <w:tcPr>
            <w:tcW w:w="980" w:type="dxa"/>
            <w:noWrap/>
            <w:vAlign w:val="center"/>
          </w:tcPr>
          <w:p w14:paraId="7FA6021F"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0.182</w:t>
            </w:r>
          </w:p>
        </w:tc>
        <w:tc>
          <w:tcPr>
            <w:tcW w:w="2160" w:type="dxa"/>
            <w:noWrap/>
            <w:vAlign w:val="center"/>
          </w:tcPr>
          <w:p w14:paraId="1EAC6131"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0.219</w:t>
            </w:r>
          </w:p>
        </w:tc>
      </w:tr>
      <w:tr w:rsidR="00D90724" w:rsidRPr="00FC5844" w14:paraId="21D1E0BB"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2C89F89"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20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30</w:t>
            </w:r>
          </w:p>
        </w:tc>
        <w:tc>
          <w:tcPr>
            <w:tcW w:w="1295" w:type="dxa"/>
            <w:noWrap/>
            <w:vAlign w:val="center"/>
          </w:tcPr>
          <w:p w14:paraId="059D1960"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99</w:t>
            </w:r>
          </w:p>
        </w:tc>
        <w:tc>
          <w:tcPr>
            <w:tcW w:w="980" w:type="dxa"/>
            <w:shd w:val="clear" w:color="auto" w:fill="FCE6E8"/>
            <w:noWrap/>
            <w:vAlign w:val="center"/>
          </w:tcPr>
          <w:p w14:paraId="76E319BD"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0.047</w:t>
            </w:r>
          </w:p>
        </w:tc>
        <w:tc>
          <w:tcPr>
            <w:tcW w:w="980" w:type="dxa"/>
            <w:noWrap/>
            <w:vAlign w:val="center"/>
          </w:tcPr>
          <w:p w14:paraId="015F6BC3"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0.209</w:t>
            </w:r>
          </w:p>
        </w:tc>
        <w:tc>
          <w:tcPr>
            <w:tcW w:w="980" w:type="dxa"/>
            <w:shd w:val="clear" w:color="auto" w:fill="FCF8FC"/>
            <w:vAlign w:val="center"/>
          </w:tcPr>
          <w:p w14:paraId="44B5D44F"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0.012</w:t>
            </w:r>
          </w:p>
        </w:tc>
        <w:tc>
          <w:tcPr>
            <w:tcW w:w="980" w:type="dxa"/>
            <w:noWrap/>
            <w:vAlign w:val="center"/>
          </w:tcPr>
          <w:p w14:paraId="0E9EA495"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0.140</w:t>
            </w:r>
          </w:p>
        </w:tc>
        <w:tc>
          <w:tcPr>
            <w:tcW w:w="2160" w:type="dxa"/>
            <w:noWrap/>
            <w:vAlign w:val="center"/>
          </w:tcPr>
          <w:p w14:paraId="771CAAD0"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0.215</w:t>
            </w:r>
          </w:p>
        </w:tc>
      </w:tr>
      <w:tr w:rsidR="00D90724" w:rsidRPr="00FC5844" w14:paraId="74BE28CA"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BA72075"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30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40</w:t>
            </w:r>
          </w:p>
        </w:tc>
        <w:tc>
          <w:tcPr>
            <w:tcW w:w="1295" w:type="dxa"/>
            <w:noWrap/>
            <w:vAlign w:val="center"/>
          </w:tcPr>
          <w:p w14:paraId="2594D6A9"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66</w:t>
            </w:r>
          </w:p>
        </w:tc>
        <w:tc>
          <w:tcPr>
            <w:tcW w:w="980" w:type="dxa"/>
            <w:shd w:val="clear" w:color="auto" w:fill="FCE6E8"/>
            <w:noWrap/>
            <w:vAlign w:val="center"/>
          </w:tcPr>
          <w:p w14:paraId="59FBE709"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0.041</w:t>
            </w:r>
          </w:p>
        </w:tc>
        <w:tc>
          <w:tcPr>
            <w:tcW w:w="980" w:type="dxa"/>
            <w:noWrap/>
            <w:vAlign w:val="center"/>
          </w:tcPr>
          <w:p w14:paraId="2FDB35B6"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0.192</w:t>
            </w:r>
          </w:p>
        </w:tc>
        <w:tc>
          <w:tcPr>
            <w:tcW w:w="980" w:type="dxa"/>
            <w:vAlign w:val="center"/>
          </w:tcPr>
          <w:p w14:paraId="07A8611C"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0.000</w:t>
            </w:r>
          </w:p>
        </w:tc>
        <w:tc>
          <w:tcPr>
            <w:tcW w:w="980" w:type="dxa"/>
            <w:noWrap/>
            <w:vAlign w:val="center"/>
          </w:tcPr>
          <w:p w14:paraId="61A2286A"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0.159</w:t>
            </w:r>
          </w:p>
        </w:tc>
        <w:tc>
          <w:tcPr>
            <w:tcW w:w="2160" w:type="dxa"/>
            <w:noWrap/>
            <w:vAlign w:val="center"/>
          </w:tcPr>
          <w:p w14:paraId="24F56205"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0.211</w:t>
            </w:r>
          </w:p>
        </w:tc>
      </w:tr>
      <w:tr w:rsidR="00D90724" w:rsidRPr="00FC5844" w14:paraId="511D988D"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E2FB875"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40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60</w:t>
            </w:r>
          </w:p>
        </w:tc>
        <w:tc>
          <w:tcPr>
            <w:tcW w:w="1295" w:type="dxa"/>
            <w:noWrap/>
            <w:vAlign w:val="center"/>
          </w:tcPr>
          <w:p w14:paraId="47C429B5"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110</w:t>
            </w:r>
          </w:p>
        </w:tc>
        <w:tc>
          <w:tcPr>
            <w:tcW w:w="980" w:type="dxa"/>
            <w:shd w:val="clear" w:color="auto" w:fill="FDE1E4"/>
            <w:noWrap/>
            <w:vAlign w:val="center"/>
          </w:tcPr>
          <w:p w14:paraId="4B80F05A"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0.056</w:t>
            </w:r>
          </w:p>
        </w:tc>
        <w:tc>
          <w:tcPr>
            <w:tcW w:w="980" w:type="dxa"/>
            <w:noWrap/>
            <w:vAlign w:val="center"/>
          </w:tcPr>
          <w:p w14:paraId="2C91803E"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0.183</w:t>
            </w:r>
          </w:p>
        </w:tc>
        <w:tc>
          <w:tcPr>
            <w:tcW w:w="980" w:type="dxa"/>
            <w:shd w:val="clear" w:color="auto" w:fill="FDFAFE"/>
            <w:vAlign w:val="center"/>
          </w:tcPr>
          <w:p w14:paraId="64F1924E"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0.005</w:t>
            </w:r>
          </w:p>
        </w:tc>
        <w:tc>
          <w:tcPr>
            <w:tcW w:w="980" w:type="dxa"/>
            <w:noWrap/>
            <w:vAlign w:val="center"/>
          </w:tcPr>
          <w:p w14:paraId="228694A0"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0.117</w:t>
            </w:r>
          </w:p>
        </w:tc>
        <w:tc>
          <w:tcPr>
            <w:tcW w:w="2160" w:type="dxa"/>
            <w:noWrap/>
            <w:vAlign w:val="center"/>
          </w:tcPr>
          <w:p w14:paraId="2000933F"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0.189</w:t>
            </w:r>
          </w:p>
        </w:tc>
      </w:tr>
      <w:tr w:rsidR="00D90724" w:rsidRPr="00FC5844" w14:paraId="27BC48CF"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77229B1"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60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80</w:t>
            </w:r>
          </w:p>
        </w:tc>
        <w:tc>
          <w:tcPr>
            <w:tcW w:w="1295" w:type="dxa"/>
            <w:noWrap/>
            <w:vAlign w:val="center"/>
          </w:tcPr>
          <w:p w14:paraId="71B66EA6"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102</w:t>
            </w:r>
          </w:p>
        </w:tc>
        <w:tc>
          <w:tcPr>
            <w:tcW w:w="980" w:type="dxa"/>
            <w:shd w:val="clear" w:color="auto" w:fill="FDF6FA"/>
            <w:noWrap/>
            <w:vAlign w:val="center"/>
          </w:tcPr>
          <w:p w14:paraId="7EBFC02D"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0.014</w:t>
            </w:r>
          </w:p>
        </w:tc>
        <w:tc>
          <w:tcPr>
            <w:tcW w:w="980" w:type="dxa"/>
            <w:noWrap/>
            <w:vAlign w:val="center"/>
          </w:tcPr>
          <w:p w14:paraId="1D3C7184"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0.114</w:t>
            </w:r>
          </w:p>
        </w:tc>
        <w:tc>
          <w:tcPr>
            <w:tcW w:w="980" w:type="dxa"/>
            <w:shd w:val="clear" w:color="auto" w:fill="FDFAFE"/>
            <w:vAlign w:val="center"/>
          </w:tcPr>
          <w:p w14:paraId="32DB8F79"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-0.003</w:t>
            </w:r>
          </w:p>
        </w:tc>
        <w:tc>
          <w:tcPr>
            <w:tcW w:w="980" w:type="dxa"/>
            <w:noWrap/>
            <w:vAlign w:val="center"/>
          </w:tcPr>
          <w:p w14:paraId="2C1BE97A"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0.025</w:t>
            </w:r>
          </w:p>
        </w:tc>
        <w:tc>
          <w:tcPr>
            <w:tcW w:w="2160" w:type="dxa"/>
            <w:noWrap/>
            <w:vAlign w:val="center"/>
          </w:tcPr>
          <w:p w14:paraId="45D8C2F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0.096</w:t>
            </w:r>
          </w:p>
        </w:tc>
      </w:tr>
      <w:tr w:rsidR="00D90724" w:rsidRPr="00FC5844" w14:paraId="35A63113"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D42072F" w14:textId="77777777" w:rsidR="00D90724" w:rsidRPr="00546129" w:rsidRDefault="00D90724" w:rsidP="00A317A0">
            <w:pPr>
              <w:spacing w:after="0" w:line="240" w:lineRule="auto"/>
              <w:ind w:firstLine="0"/>
              <w:jc w:val="center"/>
              <w:rPr>
                <w:rFonts w:cs="Arial"/>
                <w:b w:val="0"/>
                <w:bCs w:val="0"/>
                <w:color w:val="000000"/>
                <w:sz w:val="18"/>
                <w:szCs w:val="18"/>
              </w:rPr>
            </w:pPr>
            <w:r w:rsidRPr="00546129">
              <w:rPr>
                <w:rFonts w:cs="Arial"/>
                <w:b w:val="0"/>
                <w:bCs w:val="0"/>
                <w:color w:val="000000"/>
                <w:sz w:val="18"/>
                <w:szCs w:val="18"/>
              </w:rPr>
              <w:t xml:space="preserve">80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R</w:t>
            </w:r>
            <w:proofErr w:type="spellStart"/>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&lt; 100</w:t>
            </w:r>
          </w:p>
        </w:tc>
        <w:tc>
          <w:tcPr>
            <w:tcW w:w="1295" w:type="dxa"/>
            <w:noWrap/>
            <w:vAlign w:val="center"/>
          </w:tcPr>
          <w:p w14:paraId="691A9C0B"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76</w:t>
            </w:r>
          </w:p>
        </w:tc>
        <w:tc>
          <w:tcPr>
            <w:tcW w:w="980" w:type="dxa"/>
            <w:noWrap/>
            <w:vAlign w:val="center"/>
          </w:tcPr>
          <w:p w14:paraId="3CE14982"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0.001</w:t>
            </w:r>
          </w:p>
        </w:tc>
        <w:tc>
          <w:tcPr>
            <w:tcW w:w="980" w:type="dxa"/>
            <w:noWrap/>
            <w:vAlign w:val="center"/>
          </w:tcPr>
          <w:p w14:paraId="29CDCF34"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0.013</w:t>
            </w:r>
          </w:p>
        </w:tc>
        <w:tc>
          <w:tcPr>
            <w:tcW w:w="980" w:type="dxa"/>
            <w:vAlign w:val="center"/>
          </w:tcPr>
          <w:p w14:paraId="5792C299"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0.000</w:t>
            </w:r>
          </w:p>
        </w:tc>
        <w:tc>
          <w:tcPr>
            <w:tcW w:w="980" w:type="dxa"/>
            <w:noWrap/>
            <w:vAlign w:val="center"/>
          </w:tcPr>
          <w:p w14:paraId="34405714"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0.000</w:t>
            </w:r>
          </w:p>
        </w:tc>
        <w:tc>
          <w:tcPr>
            <w:tcW w:w="2160" w:type="dxa"/>
            <w:noWrap/>
            <w:vAlign w:val="center"/>
          </w:tcPr>
          <w:p w14:paraId="23595888"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0.000</w:t>
            </w:r>
          </w:p>
        </w:tc>
      </w:tr>
      <w:tr w:rsidR="00D90724" w14:paraId="222F4D83" w14:textId="77777777" w:rsidTr="00A317A0">
        <w:trPr>
          <w:trHeight w:hRule="exact" w:val="109"/>
          <w:jc w:val="center"/>
        </w:trPr>
        <w:tc>
          <w:tcPr>
            <w:cnfStyle w:val="001000000000" w:firstRow="0" w:lastRow="0" w:firstColumn="1" w:lastColumn="0" w:oddVBand="0" w:evenVBand="0" w:oddHBand="0" w:evenHBand="0" w:firstRowFirstColumn="0" w:firstRowLastColumn="0" w:lastRowFirstColumn="0" w:lastRowLastColumn="0"/>
            <w:tcW w:w="8905" w:type="dxa"/>
            <w:gridSpan w:val="7"/>
            <w:noWrap/>
            <w:vAlign w:val="center"/>
          </w:tcPr>
          <w:p w14:paraId="43B56D4F" w14:textId="77777777" w:rsidR="00D90724" w:rsidRPr="00546129" w:rsidRDefault="00D90724" w:rsidP="00A317A0">
            <w:pPr>
              <w:spacing w:after="0" w:line="240" w:lineRule="auto"/>
              <w:ind w:firstLine="0"/>
              <w:jc w:val="center"/>
              <w:rPr>
                <w:rFonts w:cs="Arial"/>
                <w:b w:val="0"/>
                <w:bCs w:val="0"/>
                <w:color w:val="000000"/>
                <w:sz w:val="18"/>
                <w:szCs w:val="18"/>
              </w:rPr>
            </w:pPr>
          </w:p>
        </w:tc>
      </w:tr>
      <w:tr w:rsidR="00D90724" w:rsidRPr="00FC5844" w14:paraId="2CAADEDE"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BBD5DF4" w14:textId="77777777" w:rsidR="00D90724" w:rsidRPr="00546129" w:rsidRDefault="00D90724" w:rsidP="00A317A0">
            <w:pPr>
              <w:spacing w:after="0" w:line="240" w:lineRule="auto"/>
              <w:ind w:firstLine="0"/>
              <w:jc w:val="center"/>
              <w:rPr>
                <w:rFonts w:cs="Arial"/>
                <w:b w:val="0"/>
                <w:bCs w:val="0"/>
                <w:color w:val="000000"/>
                <w:sz w:val="18"/>
                <w:szCs w:val="18"/>
              </w:rPr>
            </w:pPr>
            <w:proofErr w:type="spellStart"/>
            <w:r w:rsidRPr="00546129">
              <w:rPr>
                <w:rFonts w:cs="Arial"/>
                <w:b w:val="0"/>
                <w:bCs w:val="0"/>
                <w:color w:val="000000"/>
                <w:sz w:val="18"/>
                <w:szCs w:val="18"/>
              </w:rPr>
              <w:t>R</w:t>
            </w:r>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20</w:t>
            </w:r>
          </w:p>
        </w:tc>
        <w:tc>
          <w:tcPr>
            <w:tcW w:w="1295" w:type="dxa"/>
            <w:noWrap/>
            <w:vAlign w:val="center"/>
          </w:tcPr>
          <w:p w14:paraId="7ACA186D"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232</w:t>
            </w:r>
          </w:p>
        </w:tc>
        <w:tc>
          <w:tcPr>
            <w:tcW w:w="980" w:type="dxa"/>
            <w:shd w:val="clear" w:color="auto" w:fill="FCE7E8"/>
            <w:noWrap/>
            <w:vAlign w:val="center"/>
          </w:tcPr>
          <w:p w14:paraId="3618160B"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0.051</w:t>
            </w:r>
          </w:p>
        </w:tc>
        <w:tc>
          <w:tcPr>
            <w:tcW w:w="980" w:type="dxa"/>
            <w:noWrap/>
            <w:vAlign w:val="center"/>
          </w:tcPr>
          <w:p w14:paraId="551274FE"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0.237</w:t>
            </w:r>
          </w:p>
        </w:tc>
        <w:tc>
          <w:tcPr>
            <w:tcW w:w="980" w:type="dxa"/>
            <w:shd w:val="clear" w:color="auto" w:fill="FCF8FD"/>
            <w:vAlign w:val="center"/>
          </w:tcPr>
          <w:p w14:paraId="401F1BAD"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0.013</w:t>
            </w:r>
          </w:p>
        </w:tc>
        <w:tc>
          <w:tcPr>
            <w:tcW w:w="980" w:type="dxa"/>
            <w:noWrap/>
            <w:vAlign w:val="center"/>
          </w:tcPr>
          <w:p w14:paraId="047588CE"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0.153</w:t>
            </w:r>
          </w:p>
        </w:tc>
        <w:tc>
          <w:tcPr>
            <w:tcW w:w="2160" w:type="dxa"/>
            <w:noWrap/>
            <w:vAlign w:val="center"/>
          </w:tcPr>
          <w:p w14:paraId="2C0DE8DB"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0.216</w:t>
            </w:r>
          </w:p>
        </w:tc>
      </w:tr>
      <w:tr w:rsidR="00D90724" w:rsidRPr="00FC5844" w14:paraId="27F3F31F"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234C52A" w14:textId="77777777" w:rsidR="00D90724" w:rsidRPr="00546129" w:rsidRDefault="00D90724" w:rsidP="00A317A0">
            <w:pPr>
              <w:spacing w:after="0" w:line="240" w:lineRule="auto"/>
              <w:ind w:firstLine="0"/>
              <w:jc w:val="center"/>
              <w:rPr>
                <w:rFonts w:cs="Arial"/>
                <w:b w:val="0"/>
                <w:bCs w:val="0"/>
                <w:color w:val="000000"/>
                <w:sz w:val="18"/>
                <w:szCs w:val="18"/>
              </w:rPr>
            </w:pPr>
            <w:proofErr w:type="spellStart"/>
            <w:r w:rsidRPr="00546129">
              <w:rPr>
                <w:rFonts w:cs="Arial"/>
                <w:b w:val="0"/>
                <w:bCs w:val="0"/>
                <w:color w:val="000000"/>
                <w:sz w:val="18"/>
                <w:szCs w:val="18"/>
              </w:rPr>
              <w:t>R</w:t>
            </w:r>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w:t>
            </w:r>
            <m:oMath>
              <m:r>
                <m:rPr>
                  <m:sty m:val="bi"/>
                </m:rPr>
                <w:rPr>
                  <w:rFonts w:ascii="Cambria Math" w:hAnsi="Cambria Math" w:cs="Arial"/>
                  <w:color w:val="000000"/>
                  <w:sz w:val="18"/>
                  <w:szCs w:val="18"/>
                </w:rPr>
                <m:t>≤</m:t>
              </m:r>
            </m:oMath>
            <w:r w:rsidRPr="00546129">
              <w:rPr>
                <w:rFonts w:cs="Arial"/>
                <w:b w:val="0"/>
                <w:bCs w:val="0"/>
                <w:color w:val="000000"/>
                <w:sz w:val="18"/>
                <w:szCs w:val="18"/>
              </w:rPr>
              <w:t xml:space="preserve"> 40</w:t>
            </w:r>
          </w:p>
        </w:tc>
        <w:tc>
          <w:tcPr>
            <w:tcW w:w="1295" w:type="dxa"/>
            <w:noWrap/>
            <w:vAlign w:val="center"/>
          </w:tcPr>
          <w:p w14:paraId="2D7C9FEB"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397</w:t>
            </w:r>
          </w:p>
        </w:tc>
        <w:tc>
          <w:tcPr>
            <w:tcW w:w="980" w:type="dxa"/>
            <w:shd w:val="clear" w:color="auto" w:fill="FCE7E8"/>
            <w:noWrap/>
            <w:vAlign w:val="center"/>
          </w:tcPr>
          <w:p w14:paraId="210FD509"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0.049</w:t>
            </w:r>
          </w:p>
        </w:tc>
        <w:tc>
          <w:tcPr>
            <w:tcW w:w="980" w:type="dxa"/>
            <w:noWrap/>
            <w:vAlign w:val="center"/>
          </w:tcPr>
          <w:p w14:paraId="776C8BDD"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0.223</w:t>
            </w:r>
          </w:p>
        </w:tc>
        <w:tc>
          <w:tcPr>
            <w:tcW w:w="980" w:type="dxa"/>
            <w:shd w:val="clear" w:color="auto" w:fill="FCF8FD"/>
            <w:vAlign w:val="center"/>
          </w:tcPr>
          <w:p w14:paraId="1A3E9612"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0.010</w:t>
            </w:r>
          </w:p>
        </w:tc>
        <w:tc>
          <w:tcPr>
            <w:tcW w:w="980" w:type="dxa"/>
            <w:noWrap/>
            <w:vAlign w:val="center"/>
          </w:tcPr>
          <w:p w14:paraId="6E1002E2"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0.151</w:t>
            </w:r>
          </w:p>
        </w:tc>
        <w:tc>
          <w:tcPr>
            <w:tcW w:w="2160" w:type="dxa"/>
            <w:noWrap/>
            <w:vAlign w:val="center"/>
          </w:tcPr>
          <w:p w14:paraId="774B89D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0.214</w:t>
            </w:r>
          </w:p>
        </w:tc>
      </w:tr>
      <w:tr w:rsidR="00D90724" w:rsidRPr="00FC5844" w14:paraId="67645386" w14:textId="77777777" w:rsidTr="00A317A0">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4C2A309" w14:textId="77777777" w:rsidR="00D90724" w:rsidRPr="00546129" w:rsidRDefault="00D90724" w:rsidP="00A317A0">
            <w:pPr>
              <w:spacing w:after="0" w:line="240" w:lineRule="auto"/>
              <w:ind w:firstLine="0"/>
              <w:jc w:val="center"/>
              <w:rPr>
                <w:rFonts w:cs="Arial"/>
                <w:b w:val="0"/>
                <w:bCs w:val="0"/>
                <w:color w:val="000000"/>
                <w:sz w:val="18"/>
                <w:szCs w:val="18"/>
              </w:rPr>
            </w:pPr>
            <w:proofErr w:type="spellStart"/>
            <w:r w:rsidRPr="00546129">
              <w:rPr>
                <w:rFonts w:cs="Arial"/>
                <w:b w:val="0"/>
                <w:bCs w:val="0"/>
                <w:color w:val="000000"/>
                <w:sz w:val="18"/>
                <w:szCs w:val="18"/>
              </w:rPr>
              <w:t>R</w:t>
            </w:r>
            <w:r w:rsidRPr="00546129">
              <w:rPr>
                <w:rFonts w:cs="Arial"/>
                <w:b w:val="0"/>
                <w:bCs w:val="0"/>
                <w:color w:val="000000"/>
                <w:sz w:val="18"/>
                <w:szCs w:val="18"/>
                <w:vertAlign w:val="subscript"/>
              </w:rPr>
              <w:t>rup</w:t>
            </w:r>
            <w:proofErr w:type="spellEnd"/>
            <w:r w:rsidRPr="00546129">
              <w:rPr>
                <w:rFonts w:cs="Arial"/>
                <w:b w:val="0"/>
                <w:bCs w:val="0"/>
                <w:color w:val="000000"/>
                <w:sz w:val="18"/>
                <w:szCs w:val="18"/>
              </w:rPr>
              <w:t xml:space="preserve"> </w:t>
            </w:r>
            <m:oMath>
              <m:r>
                <m:rPr>
                  <m:sty m:val="bi"/>
                </m:rPr>
                <w:rPr>
                  <w:rFonts w:ascii="Cambria Math" w:hAnsi="Cambria Math" w:cs="Arial"/>
                  <w:color w:val="000000"/>
                  <w:sz w:val="18"/>
                  <w:szCs w:val="18"/>
                </w:rPr>
                <m:t xml:space="preserve">≤ </m:t>
              </m:r>
            </m:oMath>
            <w:r w:rsidRPr="00546129">
              <w:rPr>
                <w:rFonts w:cs="Arial"/>
                <w:b w:val="0"/>
                <w:bCs w:val="0"/>
                <w:color w:val="000000"/>
                <w:sz w:val="18"/>
                <w:szCs w:val="18"/>
              </w:rPr>
              <w:t>100</w:t>
            </w:r>
          </w:p>
        </w:tc>
        <w:tc>
          <w:tcPr>
            <w:tcW w:w="1295" w:type="dxa"/>
            <w:noWrap/>
            <w:vAlign w:val="center"/>
          </w:tcPr>
          <w:p w14:paraId="49F561A4"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685</w:t>
            </w:r>
          </w:p>
        </w:tc>
        <w:tc>
          <w:tcPr>
            <w:tcW w:w="980" w:type="dxa"/>
            <w:shd w:val="clear" w:color="auto" w:fill="FCEDEE"/>
            <w:noWrap/>
            <w:vAlign w:val="center"/>
          </w:tcPr>
          <w:p w14:paraId="65AFB475"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0.039</w:t>
            </w:r>
          </w:p>
        </w:tc>
        <w:tc>
          <w:tcPr>
            <w:tcW w:w="980" w:type="dxa"/>
            <w:noWrap/>
            <w:vAlign w:val="center"/>
          </w:tcPr>
          <w:p w14:paraId="20AACB37"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0.191</w:t>
            </w:r>
          </w:p>
        </w:tc>
        <w:tc>
          <w:tcPr>
            <w:tcW w:w="980" w:type="dxa"/>
            <w:shd w:val="clear" w:color="auto" w:fill="FDFAFF"/>
            <w:vAlign w:val="center"/>
          </w:tcPr>
          <w:p w14:paraId="5342C73C" w14:textId="77777777" w:rsidR="00D9072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0.006</w:t>
            </w:r>
          </w:p>
        </w:tc>
        <w:tc>
          <w:tcPr>
            <w:tcW w:w="980" w:type="dxa"/>
            <w:noWrap/>
            <w:vAlign w:val="center"/>
          </w:tcPr>
          <w:p w14:paraId="43E222DC"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0.124</w:t>
            </w:r>
          </w:p>
        </w:tc>
        <w:tc>
          <w:tcPr>
            <w:tcW w:w="2160" w:type="dxa"/>
            <w:noWrap/>
            <w:vAlign w:val="center"/>
          </w:tcPr>
          <w:p w14:paraId="5560387F" w14:textId="77777777" w:rsidR="00D90724" w:rsidRPr="00FC5844" w:rsidRDefault="00D90724" w:rsidP="00A317A0">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ascii="Arial" w:hAnsi="Arial" w:cs="Arial"/>
                <w:color w:val="000000"/>
                <w:sz w:val="18"/>
                <w:szCs w:val="18"/>
              </w:rPr>
              <w:t>0.145</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D90724" w14:paraId="0E2282A1" w14:textId="77777777" w:rsidTr="009E2243">
        <w:trPr>
          <w:trHeight w:val="3797"/>
        </w:trPr>
        <w:tc>
          <w:tcPr>
            <w:tcW w:w="9350" w:type="dxa"/>
            <w:vAlign w:val="center"/>
          </w:tcPr>
          <w:p w14:paraId="09A4B0E2" w14:textId="77777777" w:rsidR="00D90724" w:rsidRDefault="00D90724" w:rsidP="00A317A0">
            <w:pPr>
              <w:spacing w:after="0"/>
              <w:ind w:firstLine="0"/>
              <w:jc w:val="center"/>
            </w:pPr>
            <w:r>
              <w:rPr>
                <w:noProof/>
              </w:rPr>
              <w:drawing>
                <wp:inline distT="0" distB="0" distL="0" distR="0" wp14:anchorId="6F2E3491" wp14:editId="7C13802F">
                  <wp:extent cx="5324835" cy="2743200"/>
                  <wp:effectExtent l="0" t="0" r="0" b="0"/>
                  <wp:docPr id="371720440"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20440" name="Picture 2" descr="A graph with numbers and lines&#10;&#10;Description automatically generated"/>
                          <pic:cNvPicPr/>
                        </pic:nvPicPr>
                        <pic:blipFill>
                          <a:blip r:embed="rId13"/>
                          <a:stretch>
                            <a:fillRect/>
                          </a:stretch>
                        </pic:blipFill>
                        <pic:spPr>
                          <a:xfrm>
                            <a:off x="0" y="0"/>
                            <a:ext cx="5324835" cy="2743200"/>
                          </a:xfrm>
                          <a:prstGeom prst="rect">
                            <a:avLst/>
                          </a:prstGeom>
                        </pic:spPr>
                      </pic:pic>
                    </a:graphicData>
                  </a:graphic>
                </wp:inline>
              </w:drawing>
            </w:r>
          </w:p>
        </w:tc>
      </w:tr>
    </w:tbl>
    <w:p w14:paraId="5CFA1AA0" w14:textId="1E3247AD" w:rsidR="00D90724" w:rsidRDefault="00D90724" w:rsidP="00D90724">
      <w:pPr>
        <w:pStyle w:val="Caption"/>
      </w:pPr>
      <w:r w:rsidRPr="00006FF4">
        <w:rPr>
          <w:b/>
          <w:bCs/>
        </w:rPr>
        <w:t xml:space="preserve">Figure </w:t>
      </w:r>
      <w:r w:rsidR="00935168" w:rsidRPr="00006FF4">
        <w:rPr>
          <w:b/>
          <w:bCs/>
        </w:rPr>
        <w:t>B2</w:t>
      </w:r>
      <w:r w:rsidRPr="00006FF4">
        <w:rPr>
          <w:b/>
          <w:bCs/>
        </w:rPr>
        <w:t>.</w:t>
      </w:r>
      <w:r>
        <w:t xml:space="preserve"> Distance bins of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t xml:space="preserve"> 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e>
        </m:acc>
      </m:oMath>
      <w:r>
        <w:t xml:space="preserve"> (sample means of the directivity effect at the NGA-W2 stations) with their 95% confidence intervals. Confidence interval bar distance widths indicate the extent of the distance bins.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D90724" w14:paraId="7D3DC653" w14:textId="77777777" w:rsidTr="009E2243">
        <w:trPr>
          <w:trHeight w:val="3797"/>
        </w:trPr>
        <w:tc>
          <w:tcPr>
            <w:tcW w:w="9350" w:type="dxa"/>
            <w:vAlign w:val="center"/>
          </w:tcPr>
          <w:p w14:paraId="01DC588D" w14:textId="77777777" w:rsidR="00D90724" w:rsidRDefault="00D90724" w:rsidP="00A317A0">
            <w:pPr>
              <w:spacing w:after="0"/>
              <w:ind w:firstLine="0"/>
              <w:jc w:val="center"/>
            </w:pPr>
            <w:r>
              <w:rPr>
                <w:noProof/>
              </w:rPr>
              <w:lastRenderedPageBreak/>
              <w:drawing>
                <wp:inline distT="0" distB="0" distL="0" distR="0" wp14:anchorId="50A5DFD5" wp14:editId="199F9CF7">
                  <wp:extent cx="5231875" cy="2743200"/>
                  <wp:effectExtent l="0" t="0" r="635" b="0"/>
                  <wp:docPr id="1559095896" name="Picture 1559095896" descr="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95896" name="Picture 1559095896" descr="A graph with numbers and symbols&#10;&#10;Description automatically generated with medium confidence"/>
                          <pic:cNvPicPr/>
                        </pic:nvPicPr>
                        <pic:blipFill>
                          <a:blip r:embed="rId14"/>
                          <a:stretch>
                            <a:fillRect/>
                          </a:stretch>
                        </pic:blipFill>
                        <pic:spPr>
                          <a:xfrm>
                            <a:off x="0" y="0"/>
                            <a:ext cx="5231875" cy="2743200"/>
                          </a:xfrm>
                          <a:prstGeom prst="rect">
                            <a:avLst/>
                          </a:prstGeom>
                        </pic:spPr>
                      </pic:pic>
                    </a:graphicData>
                  </a:graphic>
                </wp:inline>
              </w:drawing>
            </w:r>
          </w:p>
        </w:tc>
      </w:tr>
    </w:tbl>
    <w:p w14:paraId="4C193A23" w14:textId="334AB8CB" w:rsidR="00006FF4" w:rsidRDefault="00D90724" w:rsidP="00193F25">
      <w:pPr>
        <w:pStyle w:val="Caption"/>
      </w:pPr>
      <w:r w:rsidRPr="00006FF4">
        <w:rPr>
          <w:b/>
          <w:bCs/>
        </w:rPr>
        <w:t xml:space="preserve">Figure </w:t>
      </w:r>
      <w:r w:rsidR="00935168" w:rsidRPr="00006FF4">
        <w:rPr>
          <w:b/>
          <w:bCs/>
        </w:rPr>
        <w:t>B3</w:t>
      </w:r>
      <w:r w:rsidRPr="00006FF4">
        <w:rPr>
          <w:b/>
          <w:bCs/>
        </w:rPr>
        <w:t>.</w:t>
      </w:r>
      <w:r>
        <w:t xml:space="preserve"> Distance bins of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rPr>
          <w:szCs w:val="22"/>
        </w:rPr>
        <w:t xml:space="preserve"> </w:t>
      </w:r>
      <w:r>
        <w:t xml:space="preserve">(sample standard deviation of the directivity effect at the NGA-W2 stations) with 95% confidence intervals, and </w:t>
      </w:r>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fD</m:t>
            </m:r>
          </m:sub>
        </m:sSub>
      </m:oMath>
      <w:r>
        <w:t xml:space="preserve"> (population standard deviation of the directivity effect at the gridded stations). Confidence interval bar distance widths indicate the extent of the distance bins.</w:t>
      </w:r>
    </w:p>
    <w:p w14:paraId="16F2EA29" w14:textId="75DD7688" w:rsidR="00D90724" w:rsidRPr="00D3677F" w:rsidRDefault="00D90724" w:rsidP="00DE1E2B">
      <w:pPr>
        <w:ind w:firstLine="0"/>
        <w:rPr>
          <w:b/>
          <w:bCs/>
        </w:rPr>
      </w:pPr>
      <w:r w:rsidRPr="00D3677F">
        <w:rPr>
          <w:b/>
          <w:bCs/>
        </w:rPr>
        <w:t>Neutrality of the Standard Deviation, All Events</w:t>
      </w:r>
    </w:p>
    <w:p w14:paraId="000DEBE8" w14:textId="77777777" w:rsidR="00D90724" w:rsidRDefault="00D90724" w:rsidP="00D90724">
      <w:r>
        <w:t xml:space="preserve">A completely neutral directivity condition for the standard deviation will have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t xml:space="preserve"> (sample standard deviation of the directivity effect at the NGA-W2 stations) equal to </w:t>
      </w:r>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fD</m:t>
            </m:r>
          </m:sub>
        </m:sSub>
      </m:oMath>
      <w:r>
        <w:t xml:space="preserve"> (population standard deviation of the directivity effect at the gridded stations).</w:t>
      </w:r>
    </w:p>
    <w:p w14:paraId="311FE1EC" w14:textId="5E35FB5D" w:rsidR="00D90724" w:rsidRDefault="00D90724" w:rsidP="00D90724">
      <w:r>
        <w:t xml:space="preserve">Figure </w:t>
      </w:r>
      <w:r w:rsidR="00935168">
        <w:t>B3</w:t>
      </w:r>
      <w:r>
        <w:t xml:space="preserve"> shows </w:t>
      </w:r>
      <m:oMath>
        <m:sSub>
          <m:sSubPr>
            <m:ctrlPr>
              <w:rPr>
                <w:rFonts w:ascii="Cambria Math" w:hAnsi="Cambria Math"/>
                <w:i/>
                <w:szCs w:val="22"/>
              </w:rPr>
            </m:ctrlPr>
          </m:sSubPr>
          <m:e>
            <m:r>
              <w:rPr>
                <w:rFonts w:ascii="Cambria Math" w:hAnsi="Cambria Math"/>
                <w:szCs w:val="22"/>
              </w:rPr>
              <m:t>σ</m:t>
            </m:r>
          </m:e>
          <m:sub>
            <m:r>
              <w:rPr>
                <w:rFonts w:ascii="Cambria Math" w:hAnsi="Cambria Math"/>
                <w:szCs w:val="22"/>
              </w:rPr>
              <m:t>fD</m:t>
            </m:r>
          </m:sub>
        </m:sSub>
      </m:oMath>
      <w:r>
        <w:rPr>
          <w:szCs w:val="22"/>
        </w:rPr>
        <w:t xml:space="preserve"> and</w:t>
      </w:r>
      <w:r>
        <w:t xml:space="preserve">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rPr>
          <w:szCs w:val="22"/>
        </w:rPr>
        <w:t xml:space="preserve"> </w:t>
      </w:r>
      <w:r>
        <w:t xml:space="preserve">with 95% confidence intervals for T=3 seconds and for the Bea24 model. The CY14 model predictions (based on </w:t>
      </w:r>
      <m:oMath>
        <m:r>
          <w:rPr>
            <w:rFonts w:ascii="Cambria Math" w:hAnsi="Cambria Math"/>
            <w:szCs w:val="22"/>
          </w:rPr>
          <m:t>∆DPP</m:t>
        </m:r>
      </m:oMath>
      <w:r>
        <w:t xml:space="preserve">) were provided only at the NGA-W2 recording stations, not the gridded stations. As a result, Table </w:t>
      </w:r>
      <w:r w:rsidR="00935168">
        <w:t>B2</w:t>
      </w:r>
      <w:r>
        <w:t xml:space="preserve"> provides the sample standard deviations for CY14, but there is no comparison made for this model.</w:t>
      </w:r>
    </w:p>
    <w:p w14:paraId="5F7A4423" w14:textId="77777777" w:rsidR="009E7DFD" w:rsidRDefault="00D90724" w:rsidP="00935168">
      <w:pPr>
        <w:spacing w:after="240"/>
      </w:pPr>
      <w:r>
        <w:t xml:space="preserve">All distance bins with </w:t>
      </w:r>
      <w:proofErr w:type="spellStart"/>
      <w:r>
        <w:t>R</w:t>
      </w:r>
      <w:r w:rsidRPr="00695D02">
        <w:rPr>
          <w:rFonts w:cs="Times New Roman (Body CS)"/>
          <w:vertAlign w:val="subscript"/>
        </w:rPr>
        <w:t>rup</w:t>
      </w:r>
      <w:proofErr w:type="spellEnd"/>
      <w:r>
        <w:t xml:space="preserve"> &lt; 60 km have a population standard deviation contained within the sample standard deviation confidence intervals. At distances shorter than 3 km, where the recorded data is very limited, the confidence intervals are wide and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rPr>
          <w:szCs w:val="22"/>
        </w:rPr>
        <w:t xml:space="preserve"> appears biased high. </w:t>
      </w:r>
      <w:r>
        <w:t xml:space="preserve">The distance bins with </w:t>
      </w:r>
      <w:proofErr w:type="spellStart"/>
      <w:r>
        <w:t>R</w:t>
      </w:r>
      <w:r w:rsidRPr="00695D02">
        <w:rPr>
          <w:rFonts w:cs="Times New Roman (Body CS)"/>
          <w:vertAlign w:val="subscript"/>
        </w:rPr>
        <w:t>rup</w:t>
      </w:r>
      <w:proofErr w:type="spellEnd"/>
      <w:r>
        <w:t xml:space="preserve"> &gt; 60 have a very small positive bias in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fD</m:t>
            </m:r>
          </m:sub>
        </m:sSub>
      </m:oMath>
      <w:r>
        <w:t>.</w:t>
      </w:r>
      <w:bookmarkEnd w:id="0"/>
    </w:p>
    <w:p w14:paraId="26FFB432" w14:textId="13CFD03A" w:rsidR="009E7DFD" w:rsidRPr="007A17F9" w:rsidRDefault="009E7DFD" w:rsidP="009E7DFD">
      <w:pPr>
        <w:ind w:firstLine="0"/>
        <w:rPr>
          <w:b/>
          <w:bCs/>
        </w:rPr>
      </w:pPr>
      <w:r w:rsidRPr="00193F25">
        <w:rPr>
          <w:b/>
          <w:bCs/>
        </w:rPr>
        <w:t>Conclusions</w:t>
      </w:r>
      <w:r>
        <w:rPr>
          <w:b/>
          <w:bCs/>
        </w:rPr>
        <w:t xml:space="preserve"> on Neutrality of the NGA-W2 GMMs</w:t>
      </w:r>
    </w:p>
    <w:p w14:paraId="096C83D8" w14:textId="3F2C4D68" w:rsidR="009E7DFD" w:rsidRDefault="009E7DFD" w:rsidP="009E7DFD">
      <w:r>
        <w:t xml:space="preserve">Table B3 summarizes the NGA-W2 directivity condition of the mean using Bea24. At long periods, there is a small bias towards the forward directivity condition. The largest bias, of approximately 6%, is for 10 seconds period and for sites with </w:t>
      </w:r>
      <w:proofErr w:type="spellStart"/>
      <w:r>
        <w:t>R</w:t>
      </w:r>
      <w:r w:rsidRPr="00695D02">
        <w:rPr>
          <w:rFonts w:cs="Times New Roman (Body CS)"/>
          <w:vertAlign w:val="subscript"/>
        </w:rPr>
        <w:t>rup</w:t>
      </w:r>
      <w:proofErr w:type="spellEnd"/>
      <w:r>
        <w:t xml:space="preserve"> </w:t>
      </w:r>
      <m:oMath>
        <m:r>
          <w:rPr>
            <w:rFonts w:ascii="Cambria Math" w:hAnsi="Cambria Math"/>
          </w:rPr>
          <m:t>≤</m:t>
        </m:r>
      </m:oMath>
      <w:r>
        <w:t xml:space="preserve"> 20 km. When the distance range for this evaluation is reduced to include only sites with R</w:t>
      </w:r>
      <w:proofErr w:type="spellStart"/>
      <w:r w:rsidRPr="00695D02">
        <w:rPr>
          <w:rFonts w:cs="Times New Roman (Body CS)"/>
          <w:vertAlign w:val="subscript"/>
        </w:rPr>
        <w:t>rup</w:t>
      </w:r>
      <w:proofErr w:type="spellEnd"/>
      <w:r>
        <w:t xml:space="preserve"> </w:t>
      </w:r>
      <m:oMath>
        <m:r>
          <w:rPr>
            <w:rFonts w:ascii="Cambria Math" w:hAnsi="Cambria Math"/>
          </w:rPr>
          <m:t>≤</m:t>
        </m:r>
      </m:oMath>
      <w:r>
        <w:t xml:space="preserve"> 10 km, the forward </w:t>
      </w:r>
      <w:r>
        <w:lastRenderedPageBreak/>
        <w:t>directivity bias is smaller for all spectral periods; this is consistent with the finer distance bins used in Supplemental Appendix B, where the R</w:t>
      </w:r>
      <w:proofErr w:type="spellStart"/>
      <w:r w:rsidRPr="00695D02">
        <w:rPr>
          <w:rFonts w:cs="Times New Roman (Body CS)"/>
          <w:vertAlign w:val="subscript"/>
        </w:rPr>
        <w:t>rup</w:t>
      </w:r>
      <w:proofErr w:type="spellEnd"/>
      <w:r>
        <w:t xml:space="preserve"> </w:t>
      </w:r>
      <m:oMath>
        <m:r>
          <w:rPr>
            <w:rFonts w:ascii="Cambria Math" w:hAnsi="Cambria Math"/>
          </w:rPr>
          <m:t>=</m:t>
        </m:r>
      </m:oMath>
      <w:r>
        <w:t xml:space="preserve"> 10-15 km bin has the largest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e>
        </m:acc>
      </m:oMath>
      <w:r>
        <w:t>. The bias towards the forward directivity condition generally decreases with decreasing spectral period. As the distance range of sites to consider is expanded from R</w:t>
      </w:r>
      <w:proofErr w:type="spellStart"/>
      <w:r w:rsidRPr="00695D02">
        <w:rPr>
          <w:rFonts w:cs="Times New Roman (Body CS)"/>
          <w:vertAlign w:val="subscript"/>
        </w:rPr>
        <w:t>rup</w:t>
      </w:r>
      <w:proofErr w:type="spellEnd"/>
      <w:r>
        <w:t xml:space="preserve"> </w:t>
      </w:r>
      <m:oMath>
        <m:r>
          <w:rPr>
            <w:rFonts w:ascii="Cambria Math" w:hAnsi="Cambria Math"/>
          </w:rPr>
          <m:t>≤</m:t>
        </m:r>
      </m:oMath>
      <w:r>
        <w:t xml:space="preserve"> 20 to R</w:t>
      </w:r>
      <w:proofErr w:type="spellStart"/>
      <w:r w:rsidRPr="00695D02">
        <w:rPr>
          <w:rFonts w:cs="Times New Roman (Body CS)"/>
          <w:vertAlign w:val="subscript"/>
        </w:rPr>
        <w:t>rup</w:t>
      </w:r>
      <w:proofErr w:type="spellEnd"/>
      <w:r>
        <w:t xml:space="preserve"> </w:t>
      </w:r>
      <m:oMath>
        <m:r>
          <w:rPr>
            <w:rFonts w:ascii="Cambria Math" w:hAnsi="Cambria Math"/>
          </w:rPr>
          <m:t>≤</m:t>
        </m:r>
      </m:oMath>
      <w:r>
        <w:t xml:space="preserve"> 40 km and R</w:t>
      </w:r>
      <w:proofErr w:type="spellStart"/>
      <w:r w:rsidRPr="00695D02">
        <w:rPr>
          <w:rFonts w:cs="Times New Roman (Body CS)"/>
          <w:vertAlign w:val="subscript"/>
        </w:rPr>
        <w:t>rup</w:t>
      </w:r>
      <w:proofErr w:type="spellEnd"/>
      <w:r>
        <w:t xml:space="preserve"> </w:t>
      </w:r>
      <m:oMath>
        <m:r>
          <w:rPr>
            <w:rFonts w:ascii="Cambria Math" w:hAnsi="Cambria Math"/>
          </w:rPr>
          <m:t>≤</m:t>
        </m:r>
      </m:oMath>
      <w:r>
        <w:t xml:space="preserve"> 100 km, the forward directivity bias also decreases. </w:t>
      </w:r>
    </w:p>
    <w:p w14:paraId="230A9863" w14:textId="3D84651F" w:rsidR="009E7DFD" w:rsidRDefault="009E7DFD" w:rsidP="009E7DFD">
      <w:pPr>
        <w:pStyle w:val="Caption"/>
        <w:keepNext/>
      </w:pPr>
      <w:r w:rsidRPr="007E00F8">
        <w:rPr>
          <w:b/>
          <w:bCs/>
        </w:rPr>
        <w:t xml:space="preserve">Table </w:t>
      </w:r>
      <w:r>
        <w:rPr>
          <w:b/>
          <w:bCs/>
        </w:rPr>
        <w:t>B3</w:t>
      </w:r>
      <w:r w:rsidRPr="007E00F8">
        <w:rPr>
          <w:b/>
          <w:bCs/>
        </w:rPr>
        <w:t>.</w:t>
      </w:r>
      <w:r>
        <w:t xml:space="preserve"> Sample mean of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m:t>
            </m:r>
          </m:sub>
        </m:sSub>
      </m:oMath>
      <w:r>
        <w:t xml:space="preserve"> by distance bin and period for the 22 earthquakes evaluated in Supplemental Appendix B. </w:t>
      </w:r>
    </w:p>
    <w:tbl>
      <w:tblPr>
        <w:tblStyle w:val="GridTable1Light"/>
        <w:tblW w:w="6565" w:type="dxa"/>
        <w:jc w:val="center"/>
        <w:tblLook w:val="04A0" w:firstRow="1" w:lastRow="0" w:firstColumn="1" w:lastColumn="0" w:noHBand="0" w:noVBand="1"/>
      </w:tblPr>
      <w:tblGrid>
        <w:gridCol w:w="1530"/>
        <w:gridCol w:w="980"/>
        <w:gridCol w:w="980"/>
        <w:gridCol w:w="978"/>
        <w:gridCol w:w="1107"/>
        <w:gridCol w:w="990"/>
      </w:tblGrid>
      <w:tr w:rsidR="009E7DFD" w:rsidRPr="00FC5844" w14:paraId="726A6F40" w14:textId="77777777" w:rsidTr="007A17F9">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884DA2A" w14:textId="77777777" w:rsidR="009E7DFD" w:rsidRPr="005C5B1F" w:rsidRDefault="009E7DFD" w:rsidP="007A17F9">
            <w:pPr>
              <w:ind w:hanging="17"/>
              <w:jc w:val="center"/>
              <w:rPr>
                <w:color w:val="000000"/>
                <w:sz w:val="18"/>
                <w:szCs w:val="18"/>
              </w:rPr>
            </w:pPr>
            <w:proofErr w:type="spellStart"/>
            <w:r w:rsidRPr="005C5B1F">
              <w:rPr>
                <w:color w:val="000000"/>
                <w:sz w:val="18"/>
                <w:szCs w:val="18"/>
              </w:rPr>
              <w:t>R</w:t>
            </w:r>
            <w:r w:rsidRPr="005C5B1F">
              <w:rPr>
                <w:color w:val="000000"/>
                <w:sz w:val="18"/>
                <w:szCs w:val="18"/>
                <w:vertAlign w:val="subscript"/>
              </w:rPr>
              <w:t>rup</w:t>
            </w:r>
            <w:proofErr w:type="spellEnd"/>
            <w:r w:rsidRPr="005C5B1F">
              <w:rPr>
                <w:color w:val="000000"/>
                <w:sz w:val="18"/>
                <w:szCs w:val="18"/>
              </w:rPr>
              <w:t xml:space="preserve"> bin </w:t>
            </w:r>
            <w:r>
              <w:rPr>
                <w:color w:val="000000"/>
                <w:sz w:val="18"/>
                <w:szCs w:val="18"/>
              </w:rPr>
              <w:br/>
            </w:r>
            <w:r w:rsidRPr="005C5B1F">
              <w:rPr>
                <w:color w:val="000000"/>
                <w:sz w:val="18"/>
                <w:szCs w:val="18"/>
              </w:rPr>
              <w:t>(km)</w:t>
            </w:r>
          </w:p>
        </w:tc>
        <w:tc>
          <w:tcPr>
            <w:tcW w:w="980" w:type="dxa"/>
            <w:vAlign w:val="center"/>
          </w:tcPr>
          <w:p w14:paraId="4BB2730B" w14:textId="77777777" w:rsidR="009E7DFD" w:rsidRPr="005C5B1F" w:rsidRDefault="009E7DFD" w:rsidP="007A17F9">
            <w:pPr>
              <w:ind w:firstLine="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T=1</w:t>
            </w:r>
            <w:r>
              <w:rPr>
                <w:color w:val="000000"/>
                <w:sz w:val="18"/>
                <w:szCs w:val="18"/>
              </w:rPr>
              <w:t xml:space="preserve"> </w:t>
            </w:r>
            <w:r w:rsidRPr="005C5B1F">
              <w:rPr>
                <w:color w:val="000000"/>
                <w:sz w:val="18"/>
                <w:szCs w:val="18"/>
              </w:rPr>
              <w:t>sec</w:t>
            </w:r>
            <w:r w:rsidRPr="005C5B1F">
              <w:rPr>
                <w:color w:val="000000"/>
                <w:sz w:val="18"/>
                <w:szCs w:val="18"/>
              </w:rPr>
              <w:br/>
            </w:r>
            <m:oMath>
              <m:acc>
                <m:accPr>
                  <m:chr m:val="̅"/>
                  <m:ctrlPr>
                    <w:rPr>
                      <w:rFonts w:ascii="Cambria Math" w:hAnsi="Cambria Math"/>
                      <w:b w:val="0"/>
                      <w:bCs w:val="0"/>
                      <w:i/>
                      <w:color w:val="000000"/>
                      <w:sz w:val="18"/>
                      <w:szCs w:val="18"/>
                    </w:rPr>
                  </m:ctrlPr>
                </m:accPr>
                <m:e>
                  <m:sSub>
                    <m:sSubPr>
                      <m:ctrlPr>
                        <w:rPr>
                          <w:rFonts w:ascii="Cambria Math" w:hAnsi="Cambria Math"/>
                          <w:b w:val="0"/>
                          <w:bCs w:val="0"/>
                          <w:i/>
                          <w:color w:val="000000"/>
                          <w:sz w:val="18"/>
                          <w:szCs w:val="18"/>
                        </w:rPr>
                      </m:ctrlPr>
                    </m:sSubPr>
                    <m:e>
                      <m:r>
                        <m:rPr>
                          <m:sty m:val="bi"/>
                        </m:rPr>
                        <w:rPr>
                          <w:rFonts w:ascii="Cambria Math" w:hAnsi="Cambria Math"/>
                          <w:color w:val="000000"/>
                          <w:sz w:val="18"/>
                          <w:szCs w:val="18"/>
                        </w:rPr>
                        <m:t>f</m:t>
                      </m:r>
                    </m:e>
                    <m:sub>
                      <m:r>
                        <m:rPr>
                          <m:sty m:val="bi"/>
                        </m:rPr>
                        <w:rPr>
                          <w:rFonts w:ascii="Cambria Math" w:hAnsi="Cambria Math"/>
                          <w:color w:val="000000"/>
                          <w:sz w:val="18"/>
                          <w:szCs w:val="18"/>
                        </w:rPr>
                        <m:t>D</m:t>
                      </m:r>
                    </m:sub>
                  </m:sSub>
                </m:e>
              </m:acc>
              <m:r>
                <m:rPr>
                  <m:sty m:val="bi"/>
                </m:rPr>
                <w:rPr>
                  <w:rFonts w:ascii="Cambria Math" w:hAnsi="Cambria Math"/>
                  <w:color w:val="000000"/>
                  <w:sz w:val="18"/>
                  <w:szCs w:val="18"/>
                </w:rPr>
                <m:t xml:space="preserve"> </m:t>
              </m:r>
            </m:oMath>
            <w:r w:rsidRPr="005C5B1F">
              <w:rPr>
                <w:b w:val="0"/>
                <w:bCs w:val="0"/>
                <w:color w:val="000000"/>
                <w:sz w:val="18"/>
                <w:szCs w:val="18"/>
              </w:rPr>
              <w:t>(ln)</w:t>
            </w:r>
          </w:p>
        </w:tc>
        <w:tc>
          <w:tcPr>
            <w:tcW w:w="980" w:type="dxa"/>
            <w:vAlign w:val="center"/>
          </w:tcPr>
          <w:p w14:paraId="17F45B85" w14:textId="77777777" w:rsidR="009E7DFD" w:rsidRPr="005C5B1F" w:rsidRDefault="009E7DFD" w:rsidP="007A17F9">
            <w:pPr>
              <w:ind w:firstLine="0"/>
              <w:jc w:val="center"/>
              <w:cnfStyle w:val="100000000000" w:firstRow="1" w:lastRow="0" w:firstColumn="0" w:lastColumn="0" w:oddVBand="0" w:evenVBand="0" w:oddHBand="0" w:evenHBand="0" w:firstRowFirstColumn="0" w:firstRowLastColumn="0" w:lastRowFirstColumn="0" w:lastRowLastColumn="0"/>
              <w:rPr>
                <w:color w:val="000000"/>
                <w:sz w:val="13"/>
                <w:szCs w:val="13"/>
              </w:rPr>
            </w:pPr>
            <w:r w:rsidRPr="005C5B1F">
              <w:rPr>
                <w:color w:val="000000"/>
                <w:sz w:val="18"/>
                <w:szCs w:val="18"/>
              </w:rPr>
              <w:t>T=3</w:t>
            </w:r>
            <w:r>
              <w:rPr>
                <w:color w:val="000000"/>
                <w:sz w:val="18"/>
                <w:szCs w:val="18"/>
              </w:rPr>
              <w:t xml:space="preserve"> </w:t>
            </w:r>
            <w:r w:rsidRPr="005C5B1F">
              <w:rPr>
                <w:color w:val="000000"/>
                <w:sz w:val="18"/>
                <w:szCs w:val="18"/>
              </w:rPr>
              <w:t xml:space="preserve">sec </w:t>
            </w:r>
            <w:r w:rsidRPr="005C5B1F">
              <w:rPr>
                <w:color w:val="000000"/>
                <w:sz w:val="18"/>
                <w:szCs w:val="18"/>
              </w:rPr>
              <w:br/>
            </w:r>
            <m:oMath>
              <m:acc>
                <m:accPr>
                  <m:chr m:val="̅"/>
                  <m:ctrlPr>
                    <w:rPr>
                      <w:rFonts w:ascii="Cambria Math" w:hAnsi="Cambria Math"/>
                      <w:b w:val="0"/>
                      <w:bCs w:val="0"/>
                      <w:i/>
                      <w:color w:val="000000"/>
                      <w:sz w:val="18"/>
                      <w:szCs w:val="18"/>
                    </w:rPr>
                  </m:ctrlPr>
                </m:accPr>
                <m:e>
                  <m:sSub>
                    <m:sSubPr>
                      <m:ctrlPr>
                        <w:rPr>
                          <w:rFonts w:ascii="Cambria Math" w:hAnsi="Cambria Math"/>
                          <w:b w:val="0"/>
                          <w:bCs w:val="0"/>
                          <w:i/>
                          <w:color w:val="000000"/>
                          <w:sz w:val="18"/>
                          <w:szCs w:val="18"/>
                        </w:rPr>
                      </m:ctrlPr>
                    </m:sSubPr>
                    <m:e>
                      <m:r>
                        <m:rPr>
                          <m:sty m:val="bi"/>
                        </m:rPr>
                        <w:rPr>
                          <w:rFonts w:ascii="Cambria Math" w:hAnsi="Cambria Math"/>
                          <w:color w:val="000000"/>
                          <w:sz w:val="18"/>
                          <w:szCs w:val="18"/>
                        </w:rPr>
                        <m:t>f</m:t>
                      </m:r>
                    </m:e>
                    <m:sub>
                      <m:r>
                        <m:rPr>
                          <m:sty m:val="bi"/>
                        </m:rPr>
                        <w:rPr>
                          <w:rFonts w:ascii="Cambria Math" w:hAnsi="Cambria Math"/>
                          <w:color w:val="000000"/>
                          <w:sz w:val="18"/>
                          <w:szCs w:val="18"/>
                        </w:rPr>
                        <m:t>D</m:t>
                      </m:r>
                    </m:sub>
                  </m:sSub>
                </m:e>
              </m:acc>
              <m:r>
                <m:rPr>
                  <m:sty m:val="bi"/>
                </m:rPr>
                <w:rPr>
                  <w:rFonts w:ascii="Cambria Math" w:hAnsi="Cambria Math"/>
                  <w:color w:val="000000"/>
                  <w:sz w:val="18"/>
                  <w:szCs w:val="18"/>
                </w:rPr>
                <m:t xml:space="preserve"> </m:t>
              </m:r>
            </m:oMath>
            <w:r w:rsidRPr="005C5B1F">
              <w:rPr>
                <w:b w:val="0"/>
                <w:bCs w:val="0"/>
                <w:color w:val="000000"/>
                <w:sz w:val="18"/>
                <w:szCs w:val="18"/>
              </w:rPr>
              <w:t>(ln)</w:t>
            </w:r>
          </w:p>
        </w:tc>
        <w:tc>
          <w:tcPr>
            <w:tcW w:w="978" w:type="dxa"/>
            <w:vAlign w:val="center"/>
          </w:tcPr>
          <w:p w14:paraId="1467ADB9" w14:textId="77777777" w:rsidR="009E7DFD" w:rsidRPr="005C5B1F" w:rsidRDefault="009E7DFD" w:rsidP="007A17F9">
            <w:pPr>
              <w:ind w:firstLine="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T=5</w:t>
            </w:r>
            <w:r>
              <w:rPr>
                <w:color w:val="000000"/>
                <w:sz w:val="18"/>
                <w:szCs w:val="18"/>
              </w:rPr>
              <w:t xml:space="preserve"> </w:t>
            </w:r>
            <w:r w:rsidRPr="005C5B1F">
              <w:rPr>
                <w:color w:val="000000"/>
                <w:sz w:val="18"/>
                <w:szCs w:val="18"/>
              </w:rPr>
              <w:t xml:space="preserve">sec </w:t>
            </w:r>
            <w:r w:rsidRPr="005C5B1F">
              <w:rPr>
                <w:color w:val="000000"/>
                <w:sz w:val="18"/>
                <w:szCs w:val="18"/>
              </w:rPr>
              <w:br/>
            </w:r>
            <m:oMath>
              <m:acc>
                <m:accPr>
                  <m:chr m:val="̅"/>
                  <m:ctrlPr>
                    <w:rPr>
                      <w:rFonts w:ascii="Cambria Math" w:hAnsi="Cambria Math"/>
                      <w:b w:val="0"/>
                      <w:bCs w:val="0"/>
                      <w:i/>
                      <w:color w:val="000000"/>
                      <w:sz w:val="18"/>
                      <w:szCs w:val="18"/>
                    </w:rPr>
                  </m:ctrlPr>
                </m:accPr>
                <m:e>
                  <m:sSub>
                    <m:sSubPr>
                      <m:ctrlPr>
                        <w:rPr>
                          <w:rFonts w:ascii="Cambria Math" w:hAnsi="Cambria Math"/>
                          <w:b w:val="0"/>
                          <w:bCs w:val="0"/>
                          <w:i/>
                          <w:color w:val="000000"/>
                          <w:sz w:val="18"/>
                          <w:szCs w:val="18"/>
                        </w:rPr>
                      </m:ctrlPr>
                    </m:sSubPr>
                    <m:e>
                      <m:r>
                        <m:rPr>
                          <m:sty m:val="bi"/>
                        </m:rPr>
                        <w:rPr>
                          <w:rFonts w:ascii="Cambria Math" w:hAnsi="Cambria Math"/>
                          <w:color w:val="000000"/>
                          <w:sz w:val="18"/>
                          <w:szCs w:val="18"/>
                        </w:rPr>
                        <m:t>f</m:t>
                      </m:r>
                    </m:e>
                    <m:sub>
                      <m:r>
                        <m:rPr>
                          <m:sty m:val="bi"/>
                        </m:rPr>
                        <w:rPr>
                          <w:rFonts w:ascii="Cambria Math" w:hAnsi="Cambria Math"/>
                          <w:color w:val="000000"/>
                          <w:sz w:val="18"/>
                          <w:szCs w:val="18"/>
                        </w:rPr>
                        <m:t>D</m:t>
                      </m:r>
                    </m:sub>
                  </m:sSub>
                </m:e>
              </m:acc>
              <m:r>
                <m:rPr>
                  <m:sty m:val="bi"/>
                </m:rPr>
                <w:rPr>
                  <w:rFonts w:ascii="Cambria Math" w:hAnsi="Cambria Math"/>
                  <w:color w:val="000000"/>
                  <w:sz w:val="18"/>
                  <w:szCs w:val="18"/>
                </w:rPr>
                <m:t xml:space="preserve"> </m:t>
              </m:r>
            </m:oMath>
            <w:r w:rsidRPr="005C5B1F">
              <w:rPr>
                <w:b w:val="0"/>
                <w:bCs w:val="0"/>
                <w:color w:val="000000"/>
                <w:sz w:val="18"/>
                <w:szCs w:val="18"/>
              </w:rPr>
              <w:t>(ln)</w:t>
            </w:r>
          </w:p>
        </w:tc>
        <w:tc>
          <w:tcPr>
            <w:tcW w:w="1107" w:type="dxa"/>
            <w:vAlign w:val="center"/>
          </w:tcPr>
          <w:p w14:paraId="688052B8" w14:textId="77777777" w:rsidR="009E7DFD" w:rsidRPr="005C5B1F" w:rsidRDefault="009E7DFD" w:rsidP="007A17F9">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5C5B1F">
              <w:rPr>
                <w:color w:val="000000"/>
                <w:sz w:val="18"/>
                <w:szCs w:val="18"/>
              </w:rPr>
              <w:t>T=7.5</w:t>
            </w:r>
            <w:r>
              <w:rPr>
                <w:color w:val="000000"/>
                <w:sz w:val="18"/>
                <w:szCs w:val="18"/>
              </w:rPr>
              <w:t xml:space="preserve"> </w:t>
            </w:r>
            <w:r w:rsidRPr="005C5B1F">
              <w:rPr>
                <w:color w:val="000000"/>
                <w:sz w:val="18"/>
                <w:szCs w:val="18"/>
              </w:rPr>
              <w:t xml:space="preserve">sec </w:t>
            </w:r>
            <w:r w:rsidRPr="005C5B1F">
              <w:rPr>
                <w:color w:val="000000"/>
                <w:sz w:val="18"/>
                <w:szCs w:val="18"/>
              </w:rPr>
              <w:br/>
            </w:r>
            <m:oMath>
              <m:acc>
                <m:accPr>
                  <m:chr m:val="̅"/>
                  <m:ctrlPr>
                    <w:rPr>
                      <w:rFonts w:ascii="Cambria Math" w:hAnsi="Cambria Math"/>
                      <w:b w:val="0"/>
                      <w:bCs w:val="0"/>
                      <w:i/>
                      <w:color w:val="000000"/>
                      <w:sz w:val="18"/>
                      <w:szCs w:val="18"/>
                    </w:rPr>
                  </m:ctrlPr>
                </m:accPr>
                <m:e>
                  <m:sSub>
                    <m:sSubPr>
                      <m:ctrlPr>
                        <w:rPr>
                          <w:rFonts w:ascii="Cambria Math" w:hAnsi="Cambria Math"/>
                          <w:b w:val="0"/>
                          <w:bCs w:val="0"/>
                          <w:i/>
                          <w:color w:val="000000"/>
                          <w:sz w:val="18"/>
                          <w:szCs w:val="18"/>
                        </w:rPr>
                      </m:ctrlPr>
                    </m:sSubPr>
                    <m:e>
                      <m:r>
                        <m:rPr>
                          <m:sty m:val="bi"/>
                        </m:rPr>
                        <w:rPr>
                          <w:rFonts w:ascii="Cambria Math" w:hAnsi="Cambria Math"/>
                          <w:color w:val="000000"/>
                          <w:sz w:val="18"/>
                          <w:szCs w:val="18"/>
                        </w:rPr>
                        <m:t>f</m:t>
                      </m:r>
                    </m:e>
                    <m:sub>
                      <m:r>
                        <m:rPr>
                          <m:sty m:val="bi"/>
                        </m:rPr>
                        <w:rPr>
                          <w:rFonts w:ascii="Cambria Math" w:hAnsi="Cambria Math"/>
                          <w:color w:val="000000"/>
                          <w:sz w:val="18"/>
                          <w:szCs w:val="18"/>
                        </w:rPr>
                        <m:t>D</m:t>
                      </m:r>
                    </m:sub>
                  </m:sSub>
                </m:e>
              </m:acc>
              <m:r>
                <m:rPr>
                  <m:sty m:val="bi"/>
                </m:rPr>
                <w:rPr>
                  <w:rFonts w:ascii="Cambria Math" w:hAnsi="Cambria Math"/>
                  <w:color w:val="000000"/>
                  <w:sz w:val="18"/>
                  <w:szCs w:val="18"/>
                </w:rPr>
                <m:t xml:space="preserve"> </m:t>
              </m:r>
            </m:oMath>
            <w:r w:rsidRPr="005C5B1F">
              <w:rPr>
                <w:b w:val="0"/>
                <w:bCs w:val="0"/>
                <w:color w:val="000000"/>
                <w:sz w:val="18"/>
                <w:szCs w:val="18"/>
              </w:rPr>
              <w:t>(ln)</w:t>
            </w:r>
          </w:p>
        </w:tc>
        <w:tc>
          <w:tcPr>
            <w:tcW w:w="990" w:type="dxa"/>
            <w:vAlign w:val="center"/>
          </w:tcPr>
          <w:p w14:paraId="1DF245BF" w14:textId="77777777" w:rsidR="009E7DFD" w:rsidRPr="005C5B1F" w:rsidRDefault="009E7DFD" w:rsidP="007A17F9">
            <w:pPr>
              <w:ind w:firstLine="0"/>
              <w:cnfStyle w:val="100000000000" w:firstRow="1"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T=10</w:t>
            </w:r>
            <w:r>
              <w:rPr>
                <w:color w:val="000000"/>
                <w:sz w:val="18"/>
                <w:szCs w:val="18"/>
              </w:rPr>
              <w:t xml:space="preserve"> </w:t>
            </w:r>
            <w:r w:rsidRPr="005C5B1F">
              <w:rPr>
                <w:color w:val="000000"/>
                <w:sz w:val="18"/>
                <w:szCs w:val="18"/>
              </w:rPr>
              <w:t xml:space="preserve">sec </w:t>
            </w:r>
            <w:r w:rsidRPr="005C5B1F">
              <w:rPr>
                <w:color w:val="000000"/>
                <w:sz w:val="18"/>
                <w:szCs w:val="18"/>
              </w:rPr>
              <w:br/>
            </w:r>
            <m:oMath>
              <m:acc>
                <m:accPr>
                  <m:chr m:val="̅"/>
                  <m:ctrlPr>
                    <w:rPr>
                      <w:rFonts w:ascii="Cambria Math" w:hAnsi="Cambria Math"/>
                      <w:b w:val="0"/>
                      <w:bCs w:val="0"/>
                      <w:i/>
                      <w:color w:val="000000"/>
                      <w:sz w:val="18"/>
                      <w:szCs w:val="18"/>
                    </w:rPr>
                  </m:ctrlPr>
                </m:accPr>
                <m:e>
                  <m:sSub>
                    <m:sSubPr>
                      <m:ctrlPr>
                        <w:rPr>
                          <w:rFonts w:ascii="Cambria Math" w:hAnsi="Cambria Math"/>
                          <w:b w:val="0"/>
                          <w:bCs w:val="0"/>
                          <w:i/>
                          <w:color w:val="000000"/>
                          <w:sz w:val="18"/>
                          <w:szCs w:val="18"/>
                        </w:rPr>
                      </m:ctrlPr>
                    </m:sSubPr>
                    <m:e>
                      <m:r>
                        <m:rPr>
                          <m:sty m:val="bi"/>
                        </m:rPr>
                        <w:rPr>
                          <w:rFonts w:ascii="Cambria Math" w:hAnsi="Cambria Math"/>
                          <w:color w:val="000000"/>
                          <w:sz w:val="18"/>
                          <w:szCs w:val="18"/>
                        </w:rPr>
                        <m:t>f</m:t>
                      </m:r>
                    </m:e>
                    <m:sub>
                      <m:r>
                        <m:rPr>
                          <m:sty m:val="bi"/>
                        </m:rPr>
                        <w:rPr>
                          <w:rFonts w:ascii="Cambria Math" w:hAnsi="Cambria Math"/>
                          <w:color w:val="000000"/>
                          <w:sz w:val="18"/>
                          <w:szCs w:val="18"/>
                        </w:rPr>
                        <m:t>D</m:t>
                      </m:r>
                    </m:sub>
                  </m:sSub>
                </m:e>
              </m:acc>
              <m:r>
                <m:rPr>
                  <m:sty m:val="bi"/>
                </m:rPr>
                <w:rPr>
                  <w:rFonts w:ascii="Cambria Math" w:hAnsi="Cambria Math"/>
                  <w:color w:val="000000"/>
                  <w:sz w:val="18"/>
                  <w:szCs w:val="18"/>
                </w:rPr>
                <m:t xml:space="preserve"> </m:t>
              </m:r>
            </m:oMath>
            <w:r w:rsidRPr="005C5B1F">
              <w:rPr>
                <w:b w:val="0"/>
                <w:bCs w:val="0"/>
                <w:color w:val="000000"/>
                <w:sz w:val="18"/>
                <w:szCs w:val="18"/>
              </w:rPr>
              <w:t>(ln)</w:t>
            </w:r>
          </w:p>
        </w:tc>
      </w:tr>
      <w:tr w:rsidR="009E7DFD" w:rsidRPr="00FC5844" w14:paraId="0DB79B08" w14:textId="77777777" w:rsidTr="007A17F9">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tcPr>
          <w:p w14:paraId="783AD34C" w14:textId="77777777" w:rsidR="009E7DFD" w:rsidRPr="005C5B1F" w:rsidRDefault="009E7DFD" w:rsidP="007A17F9">
            <w:pPr>
              <w:spacing w:after="0"/>
              <w:ind w:hanging="17"/>
              <w:jc w:val="center"/>
              <w:rPr>
                <w:color w:val="000000"/>
                <w:sz w:val="18"/>
                <w:szCs w:val="18"/>
              </w:rPr>
            </w:pPr>
            <w:proofErr w:type="spellStart"/>
            <w:r w:rsidRPr="005C5B1F">
              <w:rPr>
                <w:b w:val="0"/>
                <w:bCs w:val="0"/>
                <w:color w:val="000000"/>
                <w:sz w:val="18"/>
                <w:szCs w:val="18"/>
              </w:rPr>
              <w:t>R</w:t>
            </w:r>
            <w:r w:rsidRPr="005C5B1F">
              <w:rPr>
                <w:b w:val="0"/>
                <w:bCs w:val="0"/>
                <w:color w:val="000000"/>
                <w:sz w:val="18"/>
                <w:szCs w:val="18"/>
                <w:vertAlign w:val="subscript"/>
              </w:rPr>
              <w:t>rup</w:t>
            </w:r>
            <w:proofErr w:type="spellEnd"/>
            <w:r w:rsidRPr="005C5B1F">
              <w:rPr>
                <w:b w:val="0"/>
                <w:bCs w:val="0"/>
                <w:color w:val="000000"/>
                <w:sz w:val="18"/>
                <w:szCs w:val="18"/>
              </w:rPr>
              <w:t xml:space="preserve"> </w:t>
            </w:r>
            <m:oMath>
              <m:r>
                <m:rPr>
                  <m:sty m:val="bi"/>
                </m:rPr>
                <w:rPr>
                  <w:rFonts w:ascii="Cambria Math" w:hAnsi="Cambria Math"/>
                  <w:color w:val="000000"/>
                  <w:sz w:val="18"/>
                  <w:szCs w:val="18"/>
                </w:rPr>
                <m:t>≤</m:t>
              </m:r>
            </m:oMath>
            <w:r w:rsidRPr="005C5B1F">
              <w:rPr>
                <w:b w:val="0"/>
                <w:bCs w:val="0"/>
                <w:color w:val="000000"/>
                <w:sz w:val="18"/>
                <w:szCs w:val="18"/>
              </w:rPr>
              <w:t xml:space="preserve"> 10</w:t>
            </w:r>
          </w:p>
        </w:tc>
        <w:tc>
          <w:tcPr>
            <w:tcW w:w="980" w:type="dxa"/>
            <w:shd w:val="clear" w:color="auto" w:fill="auto"/>
            <w:noWrap/>
            <w:vAlign w:val="center"/>
          </w:tcPr>
          <w:p w14:paraId="03C8FDEE"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-0.005</w:t>
            </w:r>
          </w:p>
        </w:tc>
        <w:tc>
          <w:tcPr>
            <w:tcW w:w="980" w:type="dxa"/>
            <w:noWrap/>
            <w:vAlign w:val="center"/>
          </w:tcPr>
          <w:p w14:paraId="50C2358D"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0.026</w:t>
            </w:r>
          </w:p>
        </w:tc>
        <w:tc>
          <w:tcPr>
            <w:tcW w:w="978" w:type="dxa"/>
            <w:shd w:val="clear" w:color="auto" w:fill="FCF8FD"/>
            <w:vAlign w:val="center"/>
          </w:tcPr>
          <w:p w14:paraId="458D54DD"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0.035</w:t>
            </w:r>
          </w:p>
        </w:tc>
        <w:tc>
          <w:tcPr>
            <w:tcW w:w="1107" w:type="dxa"/>
            <w:vAlign w:val="center"/>
          </w:tcPr>
          <w:p w14:paraId="59FD78AD"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0.031</w:t>
            </w:r>
          </w:p>
        </w:tc>
        <w:tc>
          <w:tcPr>
            <w:tcW w:w="990" w:type="dxa"/>
            <w:noWrap/>
            <w:vAlign w:val="center"/>
          </w:tcPr>
          <w:p w14:paraId="6C0B6F3E"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0.041</w:t>
            </w:r>
          </w:p>
        </w:tc>
      </w:tr>
      <w:tr w:rsidR="009E7DFD" w:rsidRPr="00FC5844" w14:paraId="3AD942CA" w14:textId="77777777" w:rsidTr="007A17F9">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7C33EF9" w14:textId="77777777" w:rsidR="009E7DFD" w:rsidRPr="005C5B1F" w:rsidRDefault="009E7DFD" w:rsidP="007A17F9">
            <w:pPr>
              <w:spacing w:after="0"/>
              <w:ind w:hanging="17"/>
              <w:jc w:val="center"/>
              <w:rPr>
                <w:b w:val="0"/>
                <w:bCs w:val="0"/>
                <w:color w:val="000000"/>
                <w:sz w:val="18"/>
                <w:szCs w:val="18"/>
              </w:rPr>
            </w:pPr>
            <w:proofErr w:type="spellStart"/>
            <w:r w:rsidRPr="005C5B1F">
              <w:rPr>
                <w:b w:val="0"/>
                <w:bCs w:val="0"/>
                <w:color w:val="000000"/>
                <w:sz w:val="18"/>
                <w:szCs w:val="18"/>
              </w:rPr>
              <w:t>R</w:t>
            </w:r>
            <w:r w:rsidRPr="005C5B1F">
              <w:rPr>
                <w:b w:val="0"/>
                <w:bCs w:val="0"/>
                <w:color w:val="000000"/>
                <w:sz w:val="18"/>
                <w:szCs w:val="18"/>
                <w:vertAlign w:val="subscript"/>
              </w:rPr>
              <w:t>rup</w:t>
            </w:r>
            <w:proofErr w:type="spellEnd"/>
            <w:r w:rsidRPr="005C5B1F">
              <w:rPr>
                <w:b w:val="0"/>
                <w:bCs w:val="0"/>
                <w:color w:val="000000"/>
                <w:sz w:val="18"/>
                <w:szCs w:val="18"/>
              </w:rPr>
              <w:t xml:space="preserve"> </w:t>
            </w:r>
            <m:oMath>
              <m:r>
                <m:rPr>
                  <m:sty m:val="bi"/>
                </m:rPr>
                <w:rPr>
                  <w:rFonts w:ascii="Cambria Math" w:hAnsi="Cambria Math"/>
                  <w:color w:val="000000"/>
                  <w:sz w:val="18"/>
                  <w:szCs w:val="18"/>
                </w:rPr>
                <m:t>≤</m:t>
              </m:r>
            </m:oMath>
            <w:r w:rsidRPr="005C5B1F">
              <w:rPr>
                <w:b w:val="0"/>
                <w:bCs w:val="0"/>
                <w:color w:val="000000"/>
                <w:sz w:val="18"/>
                <w:szCs w:val="18"/>
              </w:rPr>
              <w:t xml:space="preserve"> 20</w:t>
            </w:r>
          </w:p>
        </w:tc>
        <w:tc>
          <w:tcPr>
            <w:tcW w:w="980" w:type="dxa"/>
            <w:shd w:val="clear" w:color="auto" w:fill="auto"/>
            <w:noWrap/>
            <w:vAlign w:val="center"/>
          </w:tcPr>
          <w:p w14:paraId="7853B1B7"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0.009</w:t>
            </w:r>
          </w:p>
        </w:tc>
        <w:tc>
          <w:tcPr>
            <w:tcW w:w="980" w:type="dxa"/>
            <w:noWrap/>
            <w:vAlign w:val="center"/>
          </w:tcPr>
          <w:p w14:paraId="3DD5C2D3"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0.051</w:t>
            </w:r>
          </w:p>
        </w:tc>
        <w:tc>
          <w:tcPr>
            <w:tcW w:w="978" w:type="dxa"/>
            <w:shd w:val="clear" w:color="auto" w:fill="FCF8FD"/>
            <w:vAlign w:val="center"/>
          </w:tcPr>
          <w:p w14:paraId="4C9FF08B"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0.059</w:t>
            </w:r>
          </w:p>
        </w:tc>
        <w:tc>
          <w:tcPr>
            <w:tcW w:w="1107" w:type="dxa"/>
            <w:vAlign w:val="center"/>
          </w:tcPr>
          <w:p w14:paraId="2EDBE0CF"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0.061</w:t>
            </w:r>
          </w:p>
        </w:tc>
        <w:tc>
          <w:tcPr>
            <w:tcW w:w="990" w:type="dxa"/>
            <w:noWrap/>
            <w:vAlign w:val="center"/>
          </w:tcPr>
          <w:p w14:paraId="444C36A5"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0.065</w:t>
            </w:r>
          </w:p>
        </w:tc>
      </w:tr>
      <w:tr w:rsidR="009E7DFD" w:rsidRPr="00FC5844" w14:paraId="0B912424" w14:textId="77777777" w:rsidTr="007A17F9">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BE419F9" w14:textId="77777777" w:rsidR="009E7DFD" w:rsidRPr="005C5B1F" w:rsidRDefault="009E7DFD" w:rsidP="007A17F9">
            <w:pPr>
              <w:spacing w:after="0"/>
              <w:ind w:hanging="17"/>
              <w:jc w:val="center"/>
              <w:rPr>
                <w:b w:val="0"/>
                <w:bCs w:val="0"/>
                <w:color w:val="000000"/>
                <w:sz w:val="18"/>
                <w:szCs w:val="18"/>
              </w:rPr>
            </w:pPr>
            <w:proofErr w:type="spellStart"/>
            <w:r w:rsidRPr="005C5B1F">
              <w:rPr>
                <w:b w:val="0"/>
                <w:bCs w:val="0"/>
                <w:color w:val="000000"/>
                <w:sz w:val="18"/>
                <w:szCs w:val="18"/>
              </w:rPr>
              <w:t>R</w:t>
            </w:r>
            <w:r w:rsidRPr="005C5B1F">
              <w:rPr>
                <w:b w:val="0"/>
                <w:bCs w:val="0"/>
                <w:color w:val="000000"/>
                <w:sz w:val="18"/>
                <w:szCs w:val="18"/>
                <w:vertAlign w:val="subscript"/>
              </w:rPr>
              <w:t>rup</w:t>
            </w:r>
            <w:proofErr w:type="spellEnd"/>
            <w:r w:rsidRPr="005C5B1F">
              <w:rPr>
                <w:b w:val="0"/>
                <w:bCs w:val="0"/>
                <w:color w:val="000000"/>
                <w:sz w:val="18"/>
                <w:szCs w:val="18"/>
              </w:rPr>
              <w:t xml:space="preserve"> </w:t>
            </w:r>
            <m:oMath>
              <m:r>
                <m:rPr>
                  <m:sty m:val="bi"/>
                </m:rPr>
                <w:rPr>
                  <w:rFonts w:ascii="Cambria Math" w:hAnsi="Cambria Math"/>
                  <w:color w:val="000000"/>
                  <w:sz w:val="18"/>
                  <w:szCs w:val="18"/>
                </w:rPr>
                <m:t>≤</m:t>
              </m:r>
            </m:oMath>
            <w:r w:rsidRPr="005C5B1F">
              <w:rPr>
                <w:b w:val="0"/>
                <w:bCs w:val="0"/>
                <w:color w:val="000000"/>
                <w:sz w:val="18"/>
                <w:szCs w:val="18"/>
              </w:rPr>
              <w:t xml:space="preserve"> 40</w:t>
            </w:r>
          </w:p>
        </w:tc>
        <w:tc>
          <w:tcPr>
            <w:tcW w:w="980" w:type="dxa"/>
            <w:shd w:val="clear" w:color="auto" w:fill="auto"/>
            <w:noWrap/>
            <w:vAlign w:val="center"/>
          </w:tcPr>
          <w:p w14:paraId="38C53016"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0.013</w:t>
            </w:r>
          </w:p>
        </w:tc>
        <w:tc>
          <w:tcPr>
            <w:tcW w:w="980" w:type="dxa"/>
            <w:noWrap/>
            <w:vAlign w:val="center"/>
          </w:tcPr>
          <w:p w14:paraId="7FD29288"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0.049</w:t>
            </w:r>
          </w:p>
        </w:tc>
        <w:tc>
          <w:tcPr>
            <w:tcW w:w="978" w:type="dxa"/>
            <w:shd w:val="clear" w:color="auto" w:fill="FCF8FD"/>
            <w:vAlign w:val="center"/>
          </w:tcPr>
          <w:p w14:paraId="4C4C63BE"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0.058</w:t>
            </w:r>
          </w:p>
        </w:tc>
        <w:tc>
          <w:tcPr>
            <w:tcW w:w="1107" w:type="dxa"/>
            <w:vAlign w:val="center"/>
          </w:tcPr>
          <w:p w14:paraId="299B3F13"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0.054</w:t>
            </w:r>
          </w:p>
        </w:tc>
        <w:tc>
          <w:tcPr>
            <w:tcW w:w="990" w:type="dxa"/>
            <w:noWrap/>
            <w:vAlign w:val="center"/>
          </w:tcPr>
          <w:p w14:paraId="43CF8794"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0.055</w:t>
            </w:r>
          </w:p>
        </w:tc>
      </w:tr>
      <w:tr w:rsidR="009E7DFD" w:rsidRPr="00FC5844" w14:paraId="4E689920" w14:textId="77777777" w:rsidTr="007A17F9">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A2437B8" w14:textId="77777777" w:rsidR="009E7DFD" w:rsidRPr="005C5B1F" w:rsidRDefault="009E7DFD" w:rsidP="007A17F9">
            <w:pPr>
              <w:spacing w:after="0"/>
              <w:ind w:hanging="17"/>
              <w:jc w:val="center"/>
              <w:rPr>
                <w:b w:val="0"/>
                <w:bCs w:val="0"/>
                <w:color w:val="000000"/>
                <w:sz w:val="18"/>
                <w:szCs w:val="18"/>
              </w:rPr>
            </w:pPr>
            <w:proofErr w:type="spellStart"/>
            <w:r w:rsidRPr="005C5B1F">
              <w:rPr>
                <w:b w:val="0"/>
                <w:bCs w:val="0"/>
                <w:color w:val="000000"/>
                <w:sz w:val="18"/>
                <w:szCs w:val="18"/>
              </w:rPr>
              <w:t>R</w:t>
            </w:r>
            <w:r w:rsidRPr="005C5B1F">
              <w:rPr>
                <w:b w:val="0"/>
                <w:bCs w:val="0"/>
                <w:color w:val="000000"/>
                <w:sz w:val="18"/>
                <w:szCs w:val="18"/>
                <w:vertAlign w:val="subscript"/>
              </w:rPr>
              <w:t>rup</w:t>
            </w:r>
            <w:proofErr w:type="spellEnd"/>
            <w:r w:rsidRPr="005C5B1F">
              <w:rPr>
                <w:b w:val="0"/>
                <w:bCs w:val="0"/>
                <w:color w:val="000000"/>
                <w:sz w:val="18"/>
                <w:szCs w:val="18"/>
              </w:rPr>
              <w:t xml:space="preserve"> </w:t>
            </w:r>
            <m:oMath>
              <m:r>
                <m:rPr>
                  <m:sty m:val="bi"/>
                </m:rPr>
                <w:rPr>
                  <w:rFonts w:ascii="Cambria Math" w:hAnsi="Cambria Math"/>
                  <w:color w:val="000000"/>
                  <w:sz w:val="18"/>
                  <w:szCs w:val="18"/>
                </w:rPr>
                <m:t xml:space="preserve">≤ </m:t>
              </m:r>
            </m:oMath>
            <w:r w:rsidRPr="005C5B1F">
              <w:rPr>
                <w:b w:val="0"/>
                <w:bCs w:val="0"/>
                <w:color w:val="000000"/>
                <w:sz w:val="18"/>
                <w:szCs w:val="18"/>
              </w:rPr>
              <w:t>100</w:t>
            </w:r>
          </w:p>
        </w:tc>
        <w:tc>
          <w:tcPr>
            <w:tcW w:w="980" w:type="dxa"/>
            <w:shd w:val="clear" w:color="auto" w:fill="auto"/>
            <w:noWrap/>
            <w:vAlign w:val="center"/>
          </w:tcPr>
          <w:p w14:paraId="3A7A61FD"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0.010</w:t>
            </w:r>
          </w:p>
        </w:tc>
        <w:tc>
          <w:tcPr>
            <w:tcW w:w="980" w:type="dxa"/>
            <w:noWrap/>
            <w:vAlign w:val="center"/>
          </w:tcPr>
          <w:p w14:paraId="040E0014"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0.039</w:t>
            </w:r>
          </w:p>
        </w:tc>
        <w:tc>
          <w:tcPr>
            <w:tcW w:w="978" w:type="dxa"/>
            <w:shd w:val="clear" w:color="auto" w:fill="FDFAFF"/>
            <w:vAlign w:val="center"/>
          </w:tcPr>
          <w:p w14:paraId="2825B896"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0.046</w:t>
            </w:r>
          </w:p>
        </w:tc>
        <w:tc>
          <w:tcPr>
            <w:tcW w:w="1107" w:type="dxa"/>
            <w:vAlign w:val="center"/>
          </w:tcPr>
          <w:p w14:paraId="4A272A9C"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0.040</w:t>
            </w:r>
          </w:p>
        </w:tc>
        <w:tc>
          <w:tcPr>
            <w:tcW w:w="990" w:type="dxa"/>
            <w:noWrap/>
            <w:vAlign w:val="center"/>
          </w:tcPr>
          <w:p w14:paraId="5B9A6D86" w14:textId="77777777" w:rsidR="009E7DFD" w:rsidRPr="005C5B1F" w:rsidRDefault="009E7DFD" w:rsidP="007A17F9">
            <w:pPr>
              <w:spacing w:after="0"/>
              <w:ind w:hanging="17"/>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5C5B1F">
              <w:rPr>
                <w:color w:val="000000"/>
                <w:sz w:val="18"/>
                <w:szCs w:val="18"/>
              </w:rPr>
              <w:t>0.039</w:t>
            </w:r>
          </w:p>
        </w:tc>
      </w:tr>
    </w:tbl>
    <w:p w14:paraId="1DC74C99" w14:textId="77777777" w:rsidR="009E7DFD" w:rsidRDefault="009E7DFD" w:rsidP="009E7DFD">
      <w:pPr>
        <w:spacing w:after="0"/>
        <w:jc w:val="left"/>
      </w:pPr>
    </w:p>
    <w:p w14:paraId="01D2599C" w14:textId="77777777" w:rsidR="009E7DFD" w:rsidRDefault="009E7DFD" w:rsidP="009E7DFD">
      <w:r>
        <w:t xml:space="preserve">For distance bins of 3-5 km, 10-15 km, and 40-60 km, there is a small bias (statistically significant at the 95% confidence level) towards the forward-directivity condition, as shown in Supplemental Appendix B. For all other distance bins evaluated, the sample means of the directivity adjustments models are not statistically significant from zero, indicating a neutral directivity condition. </w:t>
      </w:r>
    </w:p>
    <w:p w14:paraId="7DC468D8" w14:textId="77777777" w:rsidR="009E7DFD" w:rsidRDefault="009E7DFD" w:rsidP="009E7DFD">
      <w:r>
        <w:t xml:space="preserve">For comparison, D19 binned the NGA-W2 database recordings by distance and found mean </w:t>
      </w:r>
      <m:oMath>
        <m:r>
          <w:rPr>
            <w:rFonts w:ascii="Cambria Math" w:hAnsi="Cambria Math"/>
          </w:rPr>
          <m:t>∆</m:t>
        </m:r>
      </m:oMath>
      <w:r>
        <w:t>DPP values ranging from 0.002 (R</w:t>
      </w:r>
      <w:proofErr w:type="spellStart"/>
      <w:r w:rsidRPr="00695D02">
        <w:rPr>
          <w:rFonts w:cs="Times New Roman (Body CS)"/>
          <w:vertAlign w:val="subscript"/>
        </w:rPr>
        <w:t>rup</w:t>
      </w:r>
      <w:proofErr w:type="spellEnd"/>
      <w:r>
        <w:t xml:space="preserve"> &lt; 40) to 0.13 (</w:t>
      </w:r>
      <w:proofErr w:type="spellStart"/>
      <w:r>
        <w:t>R</w:t>
      </w:r>
      <w:r w:rsidRPr="00695D02">
        <w:rPr>
          <w:rFonts w:cs="Times New Roman (Body CS)"/>
          <w:vertAlign w:val="subscript"/>
        </w:rPr>
        <w:t>rup</w:t>
      </w:r>
      <w:proofErr w:type="spellEnd"/>
      <w:r>
        <w:t xml:space="preserve"> &lt; 20), with mean </w:t>
      </w:r>
      <w:r>
        <w:rPr>
          <w:rFonts w:eastAsiaTheme="minorEastAsia"/>
        </w:rPr>
        <w:t xml:space="preserve">of all </w:t>
      </w:r>
      <m:oMath>
        <m:r>
          <w:rPr>
            <w:rFonts w:ascii="Cambria Math" w:hAnsi="Cambria Math"/>
          </w:rPr>
          <m:t>∆</m:t>
        </m:r>
      </m:oMath>
      <w:r>
        <w:t xml:space="preserve">DPP values in the NGA-W2 database, regardless of distance, of 0.011. For reference, at 3 seconds period, a value of </w:t>
      </w:r>
      <m:oMath>
        <m:r>
          <w:rPr>
            <w:rFonts w:ascii="Cambria Math" w:hAnsi="Cambria Math"/>
          </w:rPr>
          <m:t>∆</m:t>
        </m:r>
      </m:oMath>
      <w:r>
        <w:t xml:space="preserve">DPP = 0.01 corresponds to approximately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rPr>
          <w:szCs w:val="22"/>
        </w:rPr>
        <w:t xml:space="preserve"> = </w:t>
      </w:r>
      <w:r>
        <w:t xml:space="preserve">0.002 natural log units of amplification (0.2%), </w:t>
      </w:r>
      <m:oMath>
        <m:r>
          <w:rPr>
            <w:rFonts w:ascii="Cambria Math" w:hAnsi="Cambria Math"/>
          </w:rPr>
          <m:t>∆</m:t>
        </m:r>
      </m:oMath>
      <w:r>
        <w:t xml:space="preserve">DPP = 0.1 to approximately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DPP</m:t>
            </m:r>
          </m:sub>
        </m:sSub>
      </m:oMath>
      <w:r>
        <w:rPr>
          <w:szCs w:val="22"/>
        </w:rPr>
        <w:t xml:space="preserve"> = </w:t>
      </w:r>
      <w:r>
        <w:t xml:space="preserve">0.025 ln units (2.5%). D19 concluded that, on average, the NGA-W2 data reflect a directivity-neutral condition for the median of ground-motions using </w:t>
      </w:r>
      <m:oMath>
        <m:r>
          <w:rPr>
            <w:rFonts w:ascii="Cambria Math" w:hAnsi="Cambria Math"/>
          </w:rPr>
          <m:t>∆</m:t>
        </m:r>
      </m:oMath>
      <w:r>
        <w:t>DPP.</w:t>
      </w:r>
    </w:p>
    <w:p w14:paraId="72F728FE" w14:textId="77777777" w:rsidR="009E7DFD" w:rsidRDefault="009E7DFD" w:rsidP="009E7DFD">
      <w:r>
        <w:t>In summary, the mean directivity condition of the NGA-W2 recordings (and GMMs derived from them) have a small bias towards forward directivity. That bias varies with distance and spectral period; at its largest, it is approximately 5% at long spectral periods and close distances. The forward-directivity bias is smaller at shorter spectral periods and larger distances. To the extent that Bea24 is based on the NGA-W2 recordings, we have assumed that the bias in the mean directivity condition, over all distances and spectral periods, is small enough to ignore. This conclusion is consistent with D19.</w:t>
      </w:r>
    </w:p>
    <w:p w14:paraId="065F96A1" w14:textId="04028B67" w:rsidR="00935168" w:rsidRPr="00935168" w:rsidRDefault="009E7DFD" w:rsidP="009E7DFD">
      <w:r>
        <w:lastRenderedPageBreak/>
        <w:t>The standard deviations of the directivity effect at the NGA-W2 recording stations are not inconsistent with the standard deviations of the directivity effect at all possible station locations. Therefore, to the extent that the standard deviation of the NGA-W2 GMM models contain rupture directivity effects, these models can be considered to reflect a directivity-neutral condition of the standard deviation of directivity effects.</w:t>
      </w:r>
      <w:r w:rsidR="00935168">
        <w:rPr>
          <w:rFonts w:eastAsiaTheme="majorEastAsia" w:cstheme="majorBidi"/>
          <w:b/>
          <w:color w:val="000000" w:themeColor="text1"/>
          <w:sz w:val="28"/>
          <w:szCs w:val="32"/>
        </w:rPr>
        <w:br w:type="page"/>
      </w:r>
    </w:p>
    <w:p w14:paraId="6BA16A92" w14:textId="4E831EF6" w:rsidR="000B3725" w:rsidRDefault="000B3725" w:rsidP="00C40932">
      <w:pPr>
        <w:pStyle w:val="Heading1"/>
      </w:pPr>
      <w:bookmarkStart w:id="1" w:name="_Toc158293736"/>
      <w:r>
        <w:lastRenderedPageBreak/>
        <w:t xml:space="preserve">Appendix </w:t>
      </w:r>
      <w:r w:rsidR="00E347DC">
        <w:t>C</w:t>
      </w:r>
      <w:r>
        <w:t xml:space="preserve">: </w:t>
      </w:r>
      <w:r w:rsidRPr="00C40932">
        <w:t>Calculation</w:t>
      </w:r>
      <w:r>
        <w:t xml:space="preserve"> of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G</m:t>
                </m:r>
              </m:sub>
            </m:sSub>
          </m:e>
        </m:acc>
      </m:oMath>
      <w:bookmarkEnd w:id="1"/>
    </w:p>
    <w:p w14:paraId="12C0851C" w14:textId="37895495" w:rsidR="007B3C77" w:rsidRDefault="000B3725" w:rsidP="000B3725">
      <w:r>
        <w:t>Equation</w:t>
      </w:r>
      <w:r w:rsidR="00931152">
        <w:t>s</w:t>
      </w:r>
      <w:r>
        <w:t xml:space="preserve"> </w:t>
      </w:r>
      <w:r w:rsidR="00931152">
        <w:t>3</w:t>
      </w:r>
      <w:r w:rsidR="00504C24">
        <w:t xml:space="preserve">a through </w:t>
      </w:r>
      <w:r w:rsidR="00931152">
        <w:t>3</w:t>
      </w:r>
      <w:r w:rsidR="00504C24">
        <w:t>d</w:t>
      </w:r>
      <w:r>
        <w:t xml:space="preserve"> (repeated below) require the calculation of the </w:t>
      </w:r>
      <w:r w:rsidR="007B3C77">
        <w:t xml:space="preserve">directivity predictor centering term at a </w:t>
      </w:r>
      <w:r w:rsidR="007B3C77">
        <w:rPr>
          <w:rFonts w:eastAsiaTheme="minorEastAsia"/>
        </w:rPr>
        <w:t>given rupture distance,</w:t>
      </w:r>
      <w:r w:rsidR="007B3C77" w:rsidRPr="00930319">
        <w:rPr>
          <w:rFonts w:ascii="Cambria Math" w:hAnsi="Cambria Math"/>
          <w:i/>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oMath>
      <w:r w:rsidR="007B3C77">
        <w:rPr>
          <w:rFonts w:eastAsiaTheme="minorEastAsia"/>
        </w:rPr>
        <w:t xml:space="preserve">, </w:t>
      </w:r>
      <w:r w:rsidR="007B3C77">
        <w:t xml:space="preserve">defined as the </w:t>
      </w:r>
      <w:r w:rsidR="00CF2B14">
        <w:t>mean</w:t>
      </w:r>
      <w:r w:rsidR="007B3C77">
        <w:t xml:space="preserve">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007B3C77">
        <w:t xml:space="preserve"> value over a suite of sites located at the same distance to an earthquake over all azimuths (sites on a racetrack). </w:t>
      </w:r>
      <w:r w:rsidR="00606930">
        <w:t>The value of</w:t>
      </w:r>
      <w:r w:rsidR="00606930" w:rsidRPr="00930319">
        <w:rPr>
          <w:rFonts w:ascii="Cambria Math" w:hAnsi="Cambria Math"/>
          <w:i/>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oMath>
      <w:r w:rsidR="00606930">
        <w:rPr>
          <w:rFonts w:eastAsiaTheme="minorEastAsia"/>
        </w:rPr>
        <w:t xml:space="preserve"> is specific to a scenario with given hypocenter location, rupture dimensions, and rupture distance, </w:t>
      </w:r>
      <m:oMath>
        <m:sSub>
          <m:sSubPr>
            <m:ctrlPr>
              <w:rPr>
                <w:rFonts w:ascii="Cambria Math" w:hAnsi="Cambria Math"/>
                <w:i/>
              </w:rPr>
            </m:ctrlPr>
          </m:sSubPr>
          <m:e>
            <m:r>
              <w:rPr>
                <w:rFonts w:ascii="Cambria Math" w:hAnsi="Cambria Math"/>
              </w:rPr>
              <m:t>R</m:t>
            </m:r>
          </m:e>
          <m:sub>
            <m:r>
              <w:rPr>
                <w:rFonts w:ascii="Cambria Math" w:hAnsi="Cambria Math"/>
              </w:rPr>
              <m:t>rup</m:t>
            </m:r>
          </m:sub>
        </m:sSub>
      </m:oMath>
      <w:r w:rsidR="00606930">
        <w:rPr>
          <w:rFonts w:eastAsiaTheme="minorEastAsia"/>
        </w:rPr>
        <w:t xml:space="preserve">.  </w:t>
      </w:r>
    </w:p>
    <w:p w14:paraId="29139A84" w14:textId="2DB25154" w:rsidR="00131287" w:rsidRPr="0003505B" w:rsidRDefault="00000000" w:rsidP="0003505B">
      <w:pPr>
        <w:ind w:firstLine="0"/>
        <w:rPr>
          <w:rFonts w:eastAsiaTheme="minorEastAsia"/>
        </w:rPr>
      </w:pPr>
      <m:oMathPara>
        <m:oMathParaPr>
          <m:jc m:val="left"/>
        </m:oMathParaPr>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r>
                <w:rPr>
                  <w:rFonts w:ascii="Cambria Math" w:hAnsi="Cambria Math"/>
                </w:rPr>
                <m:t xml:space="preserve"> ]</m:t>
              </m:r>
              <m:sSub>
                <m:sSubPr>
                  <m:ctrlPr>
                    <w:rPr>
                      <w:rFonts w:ascii="Cambria Math" w:hAnsi="Cambria Math" w:cs="Arial"/>
                      <w:i/>
                    </w:rPr>
                  </m:ctrlPr>
                </m:sSubPr>
                <m:e>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dist</m:t>
                      </m:r>
                    </m:sub>
                  </m:sSub>
                  <m:r>
                    <w:rPr>
                      <w:rFonts w:ascii="Cambria Math" w:hAnsi="Cambria Math" w:cs="Arial"/>
                    </w:rPr>
                    <m:t xml:space="preserve"> f</m:t>
                  </m:r>
                </m:e>
                <m:sub>
                  <m:r>
                    <w:rPr>
                      <w:rFonts w:ascii="Cambria Math" w:hAnsi="Cambria Math" w:cs="Arial"/>
                    </w:rPr>
                    <m:t>Ztor</m:t>
                  </m:r>
                </m:sub>
              </m:sSub>
            </m:e>
          </m:eqArr>
        </m:oMath>
      </m:oMathPara>
    </w:p>
    <w:p w14:paraId="701B7B5D" w14:textId="4CF0B587" w:rsidR="00131287" w:rsidRPr="002D4E12" w:rsidRDefault="00000000" w:rsidP="00131287">
      <w:pPr>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e>
                  </m:d>
                </m:e>
              </m:func>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2θ</m:t>
                          </m:r>
                        </m:e>
                      </m:d>
                    </m:e>
                  </m:func>
                </m:e>
              </m:d>
            </m:e>
          </m:eqArr>
        </m:oMath>
      </m:oMathPara>
    </w:p>
    <w:p w14:paraId="69588E93" w14:textId="56854F74" w:rsidR="00131287" w:rsidRPr="002D4E12" w:rsidRDefault="00000000" w:rsidP="00131287">
      <w:pPr>
        <w:rPr>
          <w:rFonts w:eastAsiaTheme="minorEastAsia"/>
        </w:rPr>
      </w:pPr>
      <m:oMathPara>
        <m:oMathParaPr>
          <m:jc m:val="left"/>
        </m:oMathParaPr>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rad>
                <m:radPr>
                  <m:degHide m:val="1"/>
                  <m:ctrlPr>
                    <w:rPr>
                      <w:rFonts w:ascii="Cambria Math" w:eastAsiaTheme="minorEastAsia" w:hAnsi="Cambria Math"/>
                      <w:i/>
                    </w:rPr>
                  </m:ctrlPr>
                </m:radPr>
                <m:deg/>
                <m:e>
                  <m:r>
                    <w:rPr>
                      <w:rFonts w:ascii="Cambria Math" w:eastAsiaTheme="minorEastAsia" w:hAnsi="Cambria Math"/>
                    </w:rPr>
                    <m:t>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Rake</m:t>
                                  </m:r>
                                </m:e>
                              </m:d>
                            </m:e>
                          </m:func>
                        </m:e>
                      </m:d>
                    </m:e>
                    <m:sup>
                      <m:r>
                        <w:rPr>
                          <w:rFonts w:ascii="Cambria Math" w:eastAsiaTheme="minorEastAsia" w:hAnsi="Cambria Math"/>
                        </w:rPr>
                        <m:t>2</m:t>
                      </m:r>
                    </m:sup>
                  </m:sSup>
                </m:e>
              </m:rad>
            </m:e>
          </m:eqArr>
        </m:oMath>
      </m:oMathPara>
    </w:p>
    <w:p w14:paraId="05629DE9" w14:textId="1AD4FF81" w:rsidR="00131287" w:rsidRPr="00CA686B" w:rsidRDefault="00000000" w:rsidP="00131287">
      <w:pPr>
        <w:rPr>
          <w:rFonts w:eastAsiaTheme="minorEastAsia"/>
        </w:rPr>
      </w:pPr>
      <m:oMathPara>
        <m:oMathParaPr>
          <m:jc m:val="left"/>
        </m:oMathParaPr>
        <m:oMath>
          <m:eqArr>
            <m:eqArrPr>
              <m:maxDist m:val="1"/>
              <m:ctrlPr>
                <w:rPr>
                  <w:rFonts w:ascii="Cambria Math" w:hAnsi="Cambria Math"/>
                  <w:i/>
                </w:rPr>
              </m:ctrlPr>
            </m:eqArrPr>
            <m:e>
              <m:r>
                <w:rPr>
                  <w:rFonts w:ascii="Cambria Math" w:hAnsi="Cambria Math"/>
                </w:rPr>
                <m:t xml:space="preserve">θ=    </m:t>
              </m:r>
              <m:d>
                <m:dPr>
                  <m:begChr m:val="|"/>
                  <m:endChr m:val="|"/>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rPr>
                            <m:t>T</m:t>
                          </m:r>
                        </m:num>
                        <m:den>
                          <m:r>
                            <w:rPr>
                              <w:rFonts w:ascii="Cambria Math" w:hAnsi="Cambria Math"/>
                            </w:rPr>
                            <m:t>U</m:t>
                          </m:r>
                        </m:den>
                      </m:f>
                    </m:e>
                  </m:func>
                </m:e>
              </m:d>
              <m:r>
                <w:rPr>
                  <w:rFonts w:ascii="Cambria Math" w:hAnsi="Cambria Math"/>
                </w:rPr>
                <m:t xml:space="preserve">; if T=U=0; θ=0 </m:t>
              </m:r>
            </m:e>
          </m:eqArr>
        </m:oMath>
      </m:oMathPara>
    </w:p>
    <w:p w14:paraId="18AFBECE" w14:textId="4FCE72CB" w:rsidR="00A41E8B" w:rsidRDefault="00B365DF" w:rsidP="000B3725">
      <w:r>
        <w:t>There are several ways th</w:t>
      </w:r>
      <w:r w:rsidR="00CF2B14">
        <w:t xml:space="preserve">e calculation of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oMath>
      <w:r w:rsidR="00CF2B14">
        <w:rPr>
          <w:rFonts w:eastAsiaTheme="minorEastAsia"/>
        </w:rPr>
        <w:t xml:space="preserve"> </w:t>
      </w:r>
      <w:r>
        <w:t>can be approached</w:t>
      </w:r>
      <w:r w:rsidR="00281705">
        <w:t xml:space="preserve"> for a given racetrack</w:t>
      </w:r>
      <w:r w:rsidR="00A41E8B">
        <w:t>:</w:t>
      </w:r>
      <w:r>
        <w:t xml:space="preserve"> </w:t>
      </w:r>
    </w:p>
    <w:p w14:paraId="456364B8" w14:textId="78B182A3" w:rsidR="00A41E8B" w:rsidRDefault="00281705" w:rsidP="00A41E8B">
      <w:pPr>
        <w:pStyle w:val="ListParagraph"/>
        <w:numPr>
          <w:ilvl w:val="0"/>
          <w:numId w:val="22"/>
        </w:numPr>
      </w:pPr>
      <w:r>
        <w:t>Closed form</w:t>
      </w:r>
      <w:r w:rsidR="00CF2B14">
        <w:t xml:space="preserve"> (analytic) solution. Solv</w:t>
      </w:r>
      <w:r>
        <w:t>e</w:t>
      </w:r>
      <w:r w:rsidR="00CF2B14">
        <w:t xml:space="preserve"> for the mean</w:t>
      </w:r>
      <w:r>
        <w:t xml:space="preserve"> value of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t xml:space="preserve"> using the Fundamental Theorem of Calculus (Mean Value Theorem).  T</w:t>
      </w:r>
      <w:r w:rsidR="00CF2B14">
        <w:t xml:space="preserve">he </w:t>
      </w:r>
      <w:r>
        <w:t xml:space="preserve">mean value is the definite </w:t>
      </w:r>
      <w:r w:rsidR="00CF2B14">
        <w:t>integral</w:t>
      </w:r>
      <w:r>
        <w:t xml:space="preserve"> of the continuous function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t>.</w:t>
      </w:r>
    </w:p>
    <w:p w14:paraId="6DAC0159" w14:textId="1ED02F3C" w:rsidR="00281705" w:rsidRDefault="00B318AC" w:rsidP="00281705">
      <w:pPr>
        <w:pStyle w:val="ListParagraph"/>
        <w:numPr>
          <w:ilvl w:val="0"/>
          <w:numId w:val="22"/>
        </w:numPr>
      </w:pPr>
      <w:r>
        <w:t>Numerical</w:t>
      </w:r>
      <w:r w:rsidR="00281705">
        <w:t xml:space="preserve"> method. Solve for the mean value of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00281705">
        <w:t xml:space="preserve"> numerically.</w:t>
      </w:r>
    </w:p>
    <w:p w14:paraId="2D8BF7BE" w14:textId="408BE184" w:rsidR="00281705" w:rsidRDefault="00131287" w:rsidP="00A41E8B">
      <w:pPr>
        <w:pStyle w:val="ListParagraph"/>
        <w:numPr>
          <w:ilvl w:val="0"/>
          <w:numId w:val="22"/>
        </w:numPr>
      </w:pPr>
      <w:r>
        <w:t xml:space="preserve">Functional form method. Create a model for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oMath>
      <w:r>
        <w:rPr>
          <w:rFonts w:eastAsiaTheme="minorEastAsia"/>
        </w:rPr>
        <w:t xml:space="preserve"> </w:t>
      </w:r>
      <w:r>
        <w:t>which approximates.</w:t>
      </w:r>
    </w:p>
    <w:p w14:paraId="5FBD12AC" w14:textId="6997F50E" w:rsidR="00670E99" w:rsidRDefault="00670E99" w:rsidP="00670E99">
      <w:r>
        <w:t>Al Atik et al., (2023) used the functional form method for their</w:t>
      </w:r>
      <w:r w:rsidRPr="00A41E8B">
        <w:t xml:space="preserve"> statewide hazard analysis </w:t>
      </w:r>
      <w:r>
        <w:t xml:space="preserve">with </w:t>
      </w:r>
      <m:oMath>
        <m:r>
          <w:rPr>
            <w:rFonts w:ascii="Cambria Math" w:hAnsi="Cambria Math"/>
          </w:rPr>
          <m:t>∆DPP</m:t>
        </m:r>
      </m:oMath>
      <w:r>
        <w:t xml:space="preserve"> (Chiou and Youngs, 2014)</w:t>
      </w:r>
      <w:r w:rsidRPr="00A41E8B">
        <w:t xml:space="preserve">. </w:t>
      </w:r>
      <w:r>
        <w:t xml:space="preserve">Al Atik et al., (2023) created a database of scenario earthquakes with a range of </w:t>
      </w:r>
      <w:r w:rsidRPr="00A41E8B">
        <w:t>rupture</w:t>
      </w:r>
      <w:r>
        <w:t xml:space="preserve"> dimensions</w:t>
      </w:r>
      <w:r w:rsidRPr="00A41E8B">
        <w:t xml:space="preserve"> and hypocenter location</w:t>
      </w:r>
      <w:r>
        <w:t>s and</w:t>
      </w:r>
      <w:r w:rsidRPr="00A41E8B">
        <w:t xml:space="preserve"> </w:t>
      </w:r>
      <w:r>
        <w:t>used</w:t>
      </w:r>
      <w:r w:rsidRPr="00A41E8B">
        <w:t xml:space="preserve"> a functional form to</w:t>
      </w:r>
      <w:r>
        <w:t xml:space="preserve"> fit a model for</w:t>
      </w:r>
      <w:r w:rsidRPr="00A41E8B">
        <w:t xml:space="preserve"> </w:t>
      </w:r>
      <m:oMath>
        <m:acc>
          <m:accPr>
            <m:chr m:val="̅"/>
            <m:ctrlPr>
              <w:rPr>
                <w:rFonts w:ascii="Cambria Math" w:hAnsi="Cambria Math"/>
                <w:i/>
              </w:rPr>
            </m:ctrlPr>
          </m:accPr>
          <m:e>
            <m:r>
              <w:rPr>
                <w:rFonts w:ascii="Cambria Math" w:hAnsi="Cambria Math"/>
              </w:rPr>
              <m:t>∆DPP</m:t>
            </m:r>
            <m:r>
              <m:rPr>
                <m:sty m:val="p"/>
              </m:rPr>
              <w:rPr>
                <w:rFonts w:ascii="Cambria Math" w:hAnsi="Cambria Math"/>
              </w:rPr>
              <m:t xml:space="preserve"> </m:t>
            </m:r>
          </m:e>
        </m:acc>
      </m:oMath>
      <w:r w:rsidRPr="00A41E8B">
        <w:t xml:space="preserve"> given the hypocenter location, rupture distance, and rupture lengt</w:t>
      </w:r>
      <w:r>
        <w:t>h. This approach is straightforward to apply but may be subject to the largest errors out of the three methods.</w:t>
      </w:r>
    </w:p>
    <w:p w14:paraId="3B0D5EB4" w14:textId="0532F86D" w:rsidR="00F34341" w:rsidRDefault="00F34341" w:rsidP="00670E99">
      <w:r>
        <w:t xml:space="preserve">The closed form solution is preferable to the other methods because it will be exact and efficient to calculate. We attempted to solve the integrals defined below, first by hand, and then with integral solver software available online, but the solutions were extremely complex and seemed unnecessary. We found it was most straightforward to use the numerical method and approximately solve the integrals by splitting the racetrack into four regions, as shown below. </w:t>
      </w:r>
    </w:p>
    <w:p w14:paraId="3F67516F" w14:textId="737925C4" w:rsidR="00D50413" w:rsidRPr="00D3677F" w:rsidRDefault="00835B2B" w:rsidP="00D3677F">
      <w:pPr>
        <w:ind w:firstLine="0"/>
        <w:rPr>
          <w:b/>
          <w:bCs/>
        </w:rPr>
      </w:pPr>
      <w:r w:rsidRPr="00D3677F">
        <w:rPr>
          <w:b/>
          <w:bCs/>
        </w:rPr>
        <w:t>Regions 1 and 2: b</w:t>
      </w:r>
      <w:r w:rsidR="00D50413" w:rsidRPr="00D3677F">
        <w:rPr>
          <w:b/>
          <w:bCs/>
        </w:rPr>
        <w:t>etween the fault ends</w:t>
      </w:r>
    </w:p>
    <w:p w14:paraId="09A63007" w14:textId="1A013794" w:rsidR="000E1DCB" w:rsidRDefault="00D50413" w:rsidP="00D50413">
      <w:r>
        <w:lastRenderedPageBreak/>
        <w:t xml:space="preserve">The figure below shows the map view of a scenario vertical strike-slip rupture (red) with coordinate system origin at the hypocenter (star). The along-strike dimension is </w:t>
      </w:r>
      <w:proofErr w:type="gramStart"/>
      <w:r>
        <w:t>x</w:t>
      </w:r>
      <w:proofErr w:type="gramEnd"/>
      <w:r>
        <w:t xml:space="preserve"> and the strike p</w:t>
      </w:r>
      <w:r w:rsidR="00DE437E">
        <w:t>erpendicular</w:t>
      </w:r>
      <w:r>
        <w:t xml:space="preserve"> dimension is y.</w:t>
      </w:r>
      <w:r w:rsidR="00835B2B">
        <w:t xml:space="preserve"> Region 1 is between the origin and the end of the rupture in the along strike direction (</w:t>
      </w:r>
      <m:oMath>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1</m:t>
            </m:r>
          </m:sub>
        </m:sSub>
      </m:oMath>
      <w:r w:rsidR="00835B2B">
        <w:t>). Region 2 is between the origin and the end of the rupture in the anti-strike direction (</w:t>
      </w:r>
      <m:oMath>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2</m:t>
            </m:r>
          </m:sub>
        </m:sSub>
      </m:oMath>
      <w:r w:rsidR="00835B2B">
        <w:t>).</w:t>
      </w:r>
    </w:p>
    <w:p w14:paraId="0743305F" w14:textId="78653286" w:rsidR="000E1DCB" w:rsidRDefault="000E1DCB" w:rsidP="00A317A0">
      <w:pPr>
        <w:ind w:firstLine="0"/>
      </w:pPr>
      <w:r>
        <w:rPr>
          <w:noProof/>
        </w:rPr>
        <w:drawing>
          <wp:inline distT="0" distB="0" distL="0" distR="0" wp14:anchorId="5D504267" wp14:editId="2C2A060A">
            <wp:extent cx="5711568" cy="1828800"/>
            <wp:effectExtent l="0" t="0" r="3810" b="0"/>
            <wp:docPr id="607529085" name="Picture 4" descr="A red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29085" name="Picture 4" descr="A red line with black text&#10;&#10;Description automatically generated"/>
                    <pic:cNvPicPr/>
                  </pic:nvPicPr>
                  <pic:blipFill>
                    <a:blip r:embed="rId15"/>
                    <a:stretch>
                      <a:fillRect/>
                    </a:stretch>
                  </pic:blipFill>
                  <pic:spPr>
                    <a:xfrm>
                      <a:off x="0" y="0"/>
                      <a:ext cx="5711568" cy="1828800"/>
                    </a:xfrm>
                    <a:prstGeom prst="rect">
                      <a:avLst/>
                    </a:prstGeom>
                  </pic:spPr>
                </pic:pic>
              </a:graphicData>
            </a:graphic>
          </wp:inline>
        </w:drawing>
      </w:r>
    </w:p>
    <w:p w14:paraId="78C000F2" w14:textId="647FAEC5" w:rsidR="00D50413" w:rsidRDefault="00D50413" w:rsidP="00D50413">
      <w:pPr>
        <w:rPr>
          <w:rFonts w:eastAsiaTheme="minorEastAsia"/>
        </w:rPr>
      </w:pPr>
      <w:r>
        <w:t xml:space="preserve">Considering the racetrack at </w:t>
      </w:r>
      <w:r>
        <w:rPr>
          <w:rFonts w:eastAsiaTheme="minorEastAsia"/>
        </w:rPr>
        <w:t xml:space="preserve">rupture distance R, and setting the rake angle to zero, the following </w:t>
      </w:r>
      <w:r w:rsidR="000E1DCB">
        <w:rPr>
          <w:rFonts w:eastAsiaTheme="minorEastAsia"/>
        </w:rPr>
        <w:t xml:space="preserve">result from Equations </w:t>
      </w:r>
      <w:r w:rsidR="00504C24">
        <w:rPr>
          <w:rFonts w:eastAsiaTheme="minorEastAsia"/>
        </w:rPr>
        <w:t>3</w:t>
      </w:r>
      <w:r w:rsidR="000E1DCB">
        <w:rPr>
          <w:rFonts w:eastAsiaTheme="minorEastAsia"/>
        </w:rPr>
        <w:t>a</w:t>
      </w:r>
      <w:r w:rsidR="00504C24">
        <w:rPr>
          <w:rFonts w:eastAsiaTheme="minorEastAsia"/>
        </w:rPr>
        <w:t xml:space="preserve"> through 3d</w:t>
      </w:r>
      <w:r w:rsidR="00670E99">
        <w:rPr>
          <w:rFonts w:eastAsiaTheme="minorEastAsia"/>
        </w:rPr>
        <w:t xml:space="preserve"> for the along-strike direction</w:t>
      </w:r>
      <w:r>
        <w:rPr>
          <w:rFonts w:eastAsiaTheme="minorEastAsia"/>
        </w:rPr>
        <w:t>:</w:t>
      </w:r>
    </w:p>
    <w:p w14:paraId="28FEB8FA" w14:textId="18F76717" w:rsidR="00D50413" w:rsidRDefault="00D50413" w:rsidP="00D50413">
      <w:pPr>
        <w:rPr>
          <w:rFonts w:eastAsiaTheme="minorEastAsia"/>
        </w:rPr>
      </w:pPr>
      <w:r>
        <w:rPr>
          <w:rFonts w:eastAsiaTheme="minorEastAsia"/>
        </w:rPr>
        <w:tab/>
      </w:r>
      <m:oMath>
        <m:r>
          <w:rPr>
            <w:rFonts w:ascii="Cambria Math" w:eastAsiaTheme="minorEastAsia" w:hAnsi="Cambria Math"/>
          </w:rPr>
          <m:t>θ</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(R/x)</m:t>
            </m:r>
          </m:e>
        </m:func>
      </m:oMath>
    </w:p>
    <w:p w14:paraId="6BC46ACF" w14:textId="6B8F4423" w:rsidR="00D50413" w:rsidRDefault="00D50413" w:rsidP="00D50413">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eastAsiaTheme="minorEastAsia" w:hAnsi="Cambria Math"/>
                <w:i/>
              </w:rPr>
            </m:ctrlPr>
          </m:radPr>
          <m:deg/>
          <m:e>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p>
    <w:p w14:paraId="4F0B0884" w14:textId="7381E2A1" w:rsidR="00D50413" w:rsidRDefault="00D50413" w:rsidP="00D50413">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d>
          <m:dPr>
            <m:ctrlPr>
              <w:rPr>
                <w:rFonts w:ascii="Cambria Math" w:hAnsi="Cambria Math"/>
              </w:rPr>
            </m:ctrlPr>
          </m:dPr>
          <m:e>
            <m:r>
              <w:rPr>
                <w:rFonts w:ascii="Cambria Math" w:hAnsi="Cambria Math"/>
              </w:rPr>
              <m:t>x</m:t>
            </m:r>
          </m:e>
        </m:d>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m:rPr>
                <m:sty m:val="p"/>
              </m:rPr>
              <w:rPr>
                <w:rFonts w:ascii="Cambria Math" w:hAnsi="Cambria Math"/>
              </w:rPr>
              <m:t>cos⁡</m:t>
            </m:r>
            <m:r>
              <w:rPr>
                <w:rFonts w:ascii="Cambria Math" w:hAnsi="Cambria Math"/>
              </w:rPr>
              <m:t>(2</m:t>
            </m:r>
            <m:r>
              <w:rPr>
                <w:rFonts w:ascii="Cambria Math" w:eastAsiaTheme="minorEastAsia" w:hAnsi="Cambria Math"/>
              </w:rPr>
              <m:t>θ)</m:t>
            </m:r>
          </m:e>
        </m:d>
      </m:oMath>
    </w:p>
    <w:p w14:paraId="1265E2E5" w14:textId="2465A7FC" w:rsidR="00D50413" w:rsidRDefault="00D50413" w:rsidP="00D50413">
      <w:pPr>
        <w:rPr>
          <w:rFonts w:eastAsiaTheme="minorEastAsia"/>
        </w:rPr>
      </w:pPr>
      <w:r>
        <w:rPr>
          <w:rFonts w:eastAsiaTheme="minorEastAsia"/>
        </w:rPr>
        <w:t>Substituting and integrating</w:t>
      </w:r>
      <w:r w:rsidR="00670E9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d>
          <m:dPr>
            <m:ctrlPr>
              <w:rPr>
                <w:rFonts w:ascii="Cambria Math" w:hAnsi="Cambria Math"/>
              </w:rPr>
            </m:ctrlPr>
          </m:dPr>
          <m:e>
            <m:r>
              <w:rPr>
                <w:rFonts w:ascii="Cambria Math" w:hAnsi="Cambria Math"/>
              </w:rPr>
              <m:t>x</m:t>
            </m:r>
          </m:e>
        </m:d>
      </m:oMath>
      <w:r>
        <w:rPr>
          <w:rFonts w:eastAsiaTheme="minorEastAsia"/>
        </w:rPr>
        <w:t>, we have</w:t>
      </w:r>
      <w:r w:rsidR="00DB1A48">
        <w:rPr>
          <w:rFonts w:eastAsiaTheme="minorEastAsia"/>
        </w:rPr>
        <w:t xml:space="preserve"> for </w:t>
      </w:r>
      <w:proofErr w:type="gramStart"/>
      <w:r w:rsidR="00DB1A48">
        <w:rPr>
          <w:rFonts w:eastAsiaTheme="minorEastAsia"/>
        </w:rPr>
        <w:t>Region</w:t>
      </w:r>
      <w:proofErr w:type="gramEnd"/>
      <w:r w:rsidR="00DB1A48">
        <w:rPr>
          <w:rFonts w:eastAsiaTheme="minorEastAsia"/>
        </w:rPr>
        <w:t xml:space="preserve"> 1</w:t>
      </w:r>
      <w:r>
        <w:rPr>
          <w:rFonts w:eastAsiaTheme="minorEastAsia"/>
        </w:rPr>
        <w:t>:</w:t>
      </w:r>
    </w:p>
    <w:p w14:paraId="393CDD8F" w14:textId="294F0CBA" w:rsidR="00D50413" w:rsidRDefault="00D50413" w:rsidP="00D50413">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r>
          <m:rPr>
            <m:sty m:val="p"/>
          </m:rPr>
          <w:rPr>
            <w:rFonts w:ascii="Cambria Math" w:hAnsi="Cambria Math"/>
          </w:rPr>
          <m:t>=</m:t>
        </m:r>
        <m:nary>
          <m:naryPr>
            <m:limLoc m:val="subSup"/>
            <m:ctrlPr>
              <w:rPr>
                <w:rFonts w:ascii="Cambria Math" w:hAnsi="Cambria Math"/>
              </w:rPr>
            </m:ctrlPr>
          </m:naryPr>
          <m:sub>
            <m:r>
              <w:rPr>
                <w:rFonts w:ascii="Cambria Math" w:hAnsi="Cambria Math"/>
              </w:rPr>
              <m:t>0</m:t>
            </m:r>
          </m:sub>
          <m:sup>
            <m:sSub>
              <m:sSubPr>
                <m:ctrlPr>
                  <w:rPr>
                    <w:rFonts w:ascii="Cambria Math" w:hAnsi="Cambria Math"/>
                    <w:i/>
                  </w:rPr>
                </m:ctrlPr>
              </m:sSubPr>
              <m:e>
                <m:r>
                  <w:rPr>
                    <w:rFonts w:ascii="Cambria Math" w:hAnsi="Cambria Math"/>
                  </w:rPr>
                  <m:t>L</m:t>
                </m:r>
              </m:e>
              <m:sub>
                <m:r>
                  <w:rPr>
                    <w:rFonts w:ascii="Cambria Math" w:hAnsi="Cambria Math"/>
                  </w:rPr>
                  <m:t>1</m:t>
                </m:r>
              </m:sub>
            </m:sSub>
          </m:sup>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ad>
                      <m:radPr>
                        <m:degHide m:val="1"/>
                        <m:ctrlPr>
                          <w:rPr>
                            <w:rFonts w:ascii="Cambria Math" w:eastAsiaTheme="minorEastAsia" w:hAnsi="Cambria Math"/>
                            <w:i/>
                          </w:rPr>
                        </m:ctrlPr>
                      </m:radPr>
                      <m:deg/>
                      <m:e>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e>
                </m:d>
              </m:e>
            </m:func>
            <m:d>
              <m:dPr>
                <m:begChr m:val="|"/>
                <m:endChr m:val="|"/>
                <m:ctrlPr>
                  <w:rPr>
                    <w:rFonts w:ascii="Cambria Math" w:hAnsi="Cambria Math"/>
                    <w:i/>
                  </w:rPr>
                </m:ctrlPr>
              </m:dPr>
              <m:e>
                <m:r>
                  <m:rPr>
                    <m:sty m:val="p"/>
                  </m:rPr>
                  <w:rPr>
                    <w:rFonts w:ascii="Cambria Math" w:hAnsi="Cambria Math"/>
                  </w:rPr>
                  <m:t>cos⁡</m:t>
                </m:r>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(R/x)</m:t>
                    </m:r>
                  </m:e>
                </m:func>
                <m:r>
                  <w:rPr>
                    <w:rFonts w:ascii="Cambria Math" w:eastAsiaTheme="minorEastAsia" w:hAnsi="Cambria Math"/>
                  </w:rPr>
                  <m:t>)</m:t>
                </m:r>
              </m:e>
            </m:d>
          </m:e>
        </m:nary>
        <m:r>
          <m:rPr>
            <m:sty m:val="p"/>
          </m:rPr>
          <w:rPr>
            <w:rFonts w:ascii="Cambria Math" w:hAnsi="Cambria Math"/>
          </w:rPr>
          <m:t>d</m:t>
        </m:r>
        <m:r>
          <w:rPr>
            <w:rFonts w:ascii="Cambria Math" w:hAnsi="Cambria Math"/>
          </w:rPr>
          <m:t>x</m:t>
        </m:r>
      </m:oMath>
    </w:p>
    <w:p w14:paraId="3F30E2D6" w14:textId="1758AF42" w:rsidR="000E1DCB" w:rsidRDefault="000E1DCB" w:rsidP="000E1DCB">
      <w:pPr>
        <w:rPr>
          <w:rFonts w:eastAsiaTheme="minorEastAsia"/>
        </w:rPr>
      </w:pPr>
      <w:r>
        <w:t>For the anti-strike direction</w:t>
      </w:r>
      <w:r w:rsidR="00DB1A48">
        <w:t xml:space="preserve"> (Region 2)</w:t>
      </w:r>
      <w:r>
        <w:t>, equivalently:</w:t>
      </w:r>
    </w:p>
    <w:p w14:paraId="517AF865" w14:textId="6FCC849E" w:rsidR="000E1DCB" w:rsidRDefault="000E1DCB" w:rsidP="000E1DCB">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r>
          <m:rPr>
            <m:sty m:val="p"/>
          </m:rPr>
          <w:rPr>
            <w:rFonts w:ascii="Cambria Math" w:hAnsi="Cambria Math"/>
          </w:rPr>
          <m:t>=</m:t>
        </m:r>
        <m:nary>
          <m:naryPr>
            <m:limLoc m:val="subSup"/>
            <m:ctrlPr>
              <w:rPr>
                <w:rFonts w:ascii="Cambria Math" w:hAnsi="Cambria Math"/>
              </w:rPr>
            </m:ctrlPr>
          </m:naryPr>
          <m:sub>
            <m:r>
              <w:rPr>
                <w:rFonts w:ascii="Cambria Math" w:hAnsi="Cambria Math"/>
              </w:rPr>
              <m:t>0</m:t>
            </m:r>
          </m:sub>
          <m:sup>
            <m:sSub>
              <m:sSubPr>
                <m:ctrlPr>
                  <w:rPr>
                    <w:rFonts w:ascii="Cambria Math" w:hAnsi="Cambria Math"/>
                    <w:i/>
                  </w:rPr>
                </m:ctrlPr>
              </m:sSubPr>
              <m:e>
                <m:r>
                  <w:rPr>
                    <w:rFonts w:ascii="Cambria Math" w:hAnsi="Cambria Math"/>
                  </w:rPr>
                  <m:t>L</m:t>
                </m:r>
              </m:e>
              <m:sub>
                <m:r>
                  <w:rPr>
                    <w:rFonts w:ascii="Cambria Math" w:hAnsi="Cambria Math"/>
                  </w:rPr>
                  <m:t>2</m:t>
                </m:r>
              </m:sub>
            </m:sSub>
          </m:sup>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ad>
                      <m:radPr>
                        <m:degHide m:val="1"/>
                        <m:ctrlPr>
                          <w:rPr>
                            <w:rFonts w:ascii="Cambria Math" w:eastAsiaTheme="minorEastAsia" w:hAnsi="Cambria Math"/>
                            <w:i/>
                          </w:rPr>
                        </m:ctrlPr>
                      </m:radPr>
                      <m:deg/>
                      <m:e>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e>
                </m:d>
              </m:e>
            </m:func>
            <m:d>
              <m:dPr>
                <m:begChr m:val="|"/>
                <m:endChr m:val="|"/>
                <m:ctrlPr>
                  <w:rPr>
                    <w:rFonts w:ascii="Cambria Math" w:hAnsi="Cambria Math"/>
                    <w:i/>
                  </w:rPr>
                </m:ctrlPr>
              </m:dPr>
              <m:e>
                <m:r>
                  <m:rPr>
                    <m:sty m:val="p"/>
                  </m:rPr>
                  <w:rPr>
                    <w:rFonts w:ascii="Cambria Math" w:hAnsi="Cambria Math"/>
                  </w:rPr>
                  <m:t>cos⁡</m:t>
                </m:r>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(R/x)</m:t>
                    </m:r>
                  </m:e>
                </m:func>
                <m:r>
                  <w:rPr>
                    <w:rFonts w:ascii="Cambria Math" w:eastAsiaTheme="minorEastAsia" w:hAnsi="Cambria Math"/>
                  </w:rPr>
                  <m:t>)</m:t>
                </m:r>
              </m:e>
            </m:d>
          </m:e>
        </m:nary>
        <m:r>
          <m:rPr>
            <m:sty m:val="p"/>
          </m:rPr>
          <w:rPr>
            <w:rFonts w:ascii="Cambria Math" w:hAnsi="Cambria Math"/>
          </w:rPr>
          <m:t>d</m:t>
        </m:r>
        <m:r>
          <w:rPr>
            <w:rFonts w:ascii="Cambria Math" w:hAnsi="Cambria Math"/>
          </w:rPr>
          <m:t>x</m:t>
        </m:r>
      </m:oMath>
    </w:p>
    <w:p w14:paraId="52BC121A" w14:textId="4B87EC21" w:rsidR="000E1DCB" w:rsidRPr="00D3677F" w:rsidRDefault="00835B2B" w:rsidP="00D3677F">
      <w:pPr>
        <w:ind w:firstLine="0"/>
        <w:rPr>
          <w:b/>
          <w:bCs/>
        </w:rPr>
      </w:pPr>
      <w:r w:rsidRPr="00D3677F">
        <w:rPr>
          <w:b/>
          <w:bCs/>
        </w:rPr>
        <w:t>Regions 3 and 4: o</w:t>
      </w:r>
      <w:r w:rsidR="000E1DCB" w:rsidRPr="00D3677F">
        <w:rPr>
          <w:b/>
          <w:bCs/>
        </w:rPr>
        <w:t>ff the fault ends</w:t>
      </w:r>
    </w:p>
    <w:p w14:paraId="6DDFD6A9" w14:textId="6528343B" w:rsidR="000B3725" w:rsidRDefault="000E1DCB" w:rsidP="000B3725">
      <w:r>
        <w:t xml:space="preserve">Off the ends of the fault,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d>
          <m:dPr>
            <m:ctrlPr>
              <w:rPr>
                <w:rFonts w:ascii="Cambria Math" w:hAnsi="Cambria Math"/>
              </w:rPr>
            </m:ctrlPr>
          </m:dPr>
          <m:e>
            <m:r>
              <w:rPr>
                <w:rFonts w:ascii="Cambria Math" w:hAnsi="Cambria Math"/>
              </w:rPr>
              <m:t>x</m:t>
            </m:r>
          </m:e>
        </m:d>
      </m:oMath>
      <w:r>
        <w:t xml:space="preserve"> is constant and </w:t>
      </w:r>
      <m:oMath>
        <m:r>
          <w:rPr>
            <w:rFonts w:ascii="Cambria Math" w:eastAsiaTheme="minorEastAsia" w:hAnsi="Cambria Math"/>
          </w:rPr>
          <m:t>θ</m:t>
        </m:r>
        <m:d>
          <m:dPr>
            <m:ctrlPr>
              <w:rPr>
                <w:rFonts w:ascii="Cambria Math" w:hAnsi="Cambria Math"/>
              </w:rPr>
            </m:ctrlPr>
          </m:dPr>
          <m:e>
            <m:r>
              <w:rPr>
                <w:rFonts w:ascii="Cambria Math" w:hAnsi="Cambria Math"/>
              </w:rPr>
              <m:t>x</m:t>
            </m:r>
          </m:e>
        </m:d>
      </m:oMath>
      <w:r>
        <w:t xml:space="preserve"> decreases with increasing </w:t>
      </w:r>
      <m:oMath>
        <m:r>
          <w:rPr>
            <w:rFonts w:ascii="Cambria Math" w:hAnsi="Cambria Math"/>
          </w:rPr>
          <m:t>x</m:t>
        </m:r>
      </m:oMath>
      <w:r>
        <w:t xml:space="preserve"> because the racetrack curves towards the along-strike direction.</w:t>
      </w:r>
      <w:r w:rsidR="00835B2B">
        <w:t xml:space="preserve"> Region 3 has </w:t>
      </w:r>
      <m:oMath>
        <m:r>
          <w:rPr>
            <w:rFonts w:ascii="Cambria Math" w:hAnsi="Cambria Math"/>
          </w:rPr>
          <m:t>x&gt;</m:t>
        </m:r>
        <m:sSub>
          <m:sSubPr>
            <m:ctrlPr>
              <w:rPr>
                <w:rFonts w:ascii="Cambria Math" w:hAnsi="Cambria Math"/>
                <w:i/>
              </w:rPr>
            </m:ctrlPr>
          </m:sSubPr>
          <m:e>
            <m:r>
              <w:rPr>
                <w:rFonts w:ascii="Cambria Math" w:hAnsi="Cambria Math"/>
              </w:rPr>
              <m:t>L</m:t>
            </m:r>
          </m:e>
          <m:sub>
            <m:r>
              <w:rPr>
                <w:rFonts w:ascii="Cambria Math" w:hAnsi="Cambria Math"/>
              </w:rPr>
              <m:t>1</m:t>
            </m:r>
          </m:sub>
        </m:sSub>
      </m:oMath>
      <w:r w:rsidR="00835B2B">
        <w:t xml:space="preserve"> and Region 4 has </w:t>
      </w:r>
      <m:oMath>
        <m:r>
          <w:rPr>
            <w:rFonts w:ascii="Cambria Math" w:hAnsi="Cambria Math"/>
          </w:rPr>
          <m:t>x&lt;</m:t>
        </m:r>
        <m:sSub>
          <m:sSubPr>
            <m:ctrlPr>
              <w:rPr>
                <w:rFonts w:ascii="Cambria Math" w:hAnsi="Cambria Math"/>
                <w:i/>
              </w:rPr>
            </m:ctrlPr>
          </m:sSubPr>
          <m:e>
            <m:r>
              <w:rPr>
                <w:rFonts w:ascii="Cambria Math" w:hAnsi="Cambria Math"/>
              </w:rPr>
              <m:t>-L</m:t>
            </m:r>
          </m:e>
          <m:sub>
            <m:r>
              <w:rPr>
                <w:rFonts w:ascii="Cambria Math" w:hAnsi="Cambria Math"/>
              </w:rPr>
              <m:t>2</m:t>
            </m:r>
          </m:sub>
        </m:sSub>
      </m:oMath>
      <w:r w:rsidR="00835B2B">
        <w:t xml:space="preserve"> (not shown).</w:t>
      </w:r>
    </w:p>
    <w:p w14:paraId="4E41AD96" w14:textId="00DC7045" w:rsidR="00B365DF" w:rsidRDefault="000E1DCB" w:rsidP="00A317A0">
      <w:pPr>
        <w:ind w:firstLine="0"/>
      </w:pPr>
      <w:r>
        <w:rPr>
          <w:noProof/>
        </w:rPr>
        <w:lastRenderedPageBreak/>
        <w:drawing>
          <wp:inline distT="0" distB="0" distL="0" distR="0" wp14:anchorId="23CBBAD8" wp14:editId="391DCE9A">
            <wp:extent cx="5760720" cy="1705443"/>
            <wp:effectExtent l="0" t="0" r="0" b="0"/>
            <wp:docPr id="134230219" name="Picture 5" descr="A red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0219" name="Picture 5" descr="A red line with black text&#10;&#10;Description automatically generated"/>
                    <pic:cNvPicPr/>
                  </pic:nvPicPr>
                  <pic:blipFill>
                    <a:blip r:embed="rId16"/>
                    <a:stretch>
                      <a:fillRect/>
                    </a:stretch>
                  </pic:blipFill>
                  <pic:spPr>
                    <a:xfrm>
                      <a:off x="0" y="0"/>
                      <a:ext cx="5760720" cy="1705443"/>
                    </a:xfrm>
                    <a:prstGeom prst="rect">
                      <a:avLst/>
                    </a:prstGeom>
                  </pic:spPr>
                </pic:pic>
              </a:graphicData>
            </a:graphic>
          </wp:inline>
        </w:drawing>
      </w:r>
    </w:p>
    <w:p w14:paraId="64489EC4" w14:textId="582D1CFF" w:rsidR="000E1DCB" w:rsidRDefault="000E1DCB" w:rsidP="000E1DCB">
      <w:pPr>
        <w:rPr>
          <w:rFonts w:eastAsiaTheme="minorEastAsia"/>
        </w:rPr>
      </w:pPr>
      <w:r>
        <w:t xml:space="preserve">For </w:t>
      </w:r>
      <w:r w:rsidR="00835B2B">
        <w:t xml:space="preserve">Region 3, </w:t>
      </w:r>
      <w:r>
        <w:rPr>
          <w:rFonts w:eastAsiaTheme="minorEastAsia"/>
        </w:rPr>
        <w:t xml:space="preserve">the following result from Equations </w:t>
      </w:r>
      <w:r w:rsidR="00504C24">
        <w:rPr>
          <w:rFonts w:eastAsiaTheme="minorEastAsia"/>
        </w:rPr>
        <w:t>3</w:t>
      </w:r>
      <w:r>
        <w:rPr>
          <w:rFonts w:eastAsiaTheme="minorEastAsia"/>
        </w:rPr>
        <w:t>a</w:t>
      </w:r>
      <w:r w:rsidR="00504C24">
        <w:rPr>
          <w:rFonts w:eastAsiaTheme="minorEastAsia"/>
        </w:rPr>
        <w:t xml:space="preserve"> through 3d</w:t>
      </w:r>
      <w:r>
        <w:rPr>
          <w:rFonts w:eastAsiaTheme="minorEastAsia"/>
        </w:rPr>
        <w:t>:</w:t>
      </w:r>
    </w:p>
    <w:p w14:paraId="7BE087B2" w14:textId="6767B6A5" w:rsidR="000E1DCB" w:rsidRDefault="000E1DCB" w:rsidP="000E1DCB">
      <w:pPr>
        <w:rPr>
          <w:rFonts w:eastAsiaTheme="minorEastAsia"/>
        </w:rPr>
      </w:pPr>
      <w:r>
        <w:rPr>
          <w:rFonts w:eastAsiaTheme="minorEastAsia"/>
        </w:rPr>
        <w:tab/>
      </w:r>
      <m:oMath>
        <m:r>
          <w:rPr>
            <w:rFonts w:ascii="Cambria Math" w:eastAsiaTheme="minorEastAsia" w:hAnsi="Cambria Math"/>
          </w:rPr>
          <m:t>r</m:t>
        </m:r>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1</m:t>
                        </m:r>
                      </m:sub>
                    </m:sSub>
                  </m:e>
                </m:d>
              </m:e>
              <m:sup>
                <m:r>
                  <w:rPr>
                    <w:rFonts w:ascii="Cambria Math" w:hAnsi="Cambria Math"/>
                  </w:rPr>
                  <m:t>2</m:t>
                </m:r>
              </m:sup>
            </m:sSup>
          </m:e>
        </m:rad>
      </m:oMath>
      <w:r w:rsidR="00670E99">
        <w:rPr>
          <w:rFonts w:eastAsiaTheme="minorEastAsia"/>
        </w:rPr>
        <w:t xml:space="preserve"> (circle formula)</w:t>
      </w:r>
    </w:p>
    <w:p w14:paraId="16A83A54" w14:textId="1C76DD65" w:rsidR="000E1DCB" w:rsidRDefault="000E1DCB" w:rsidP="000E1DCB">
      <w:pPr>
        <w:rPr>
          <w:rFonts w:eastAsiaTheme="minorEastAsia"/>
        </w:rPr>
      </w:pPr>
      <w:r>
        <w:rPr>
          <w:rFonts w:eastAsiaTheme="minorEastAsia"/>
        </w:rPr>
        <w:tab/>
      </w:r>
      <m:oMath>
        <m:r>
          <w:rPr>
            <w:rFonts w:ascii="Cambria Math" w:eastAsiaTheme="minorEastAsia" w:hAnsi="Cambria Math"/>
          </w:rPr>
          <m:t>θ</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(r/x)</m:t>
            </m:r>
          </m:e>
        </m:func>
      </m:oMath>
    </w:p>
    <w:p w14:paraId="4ED262CF" w14:textId="7D135902" w:rsidR="000E1DCB" w:rsidRDefault="000E1DCB" w:rsidP="000E1DCB">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oMath>
    </w:p>
    <w:p w14:paraId="7825852C" w14:textId="77777777" w:rsidR="000E1DCB" w:rsidRDefault="000E1DCB" w:rsidP="000E1DCB">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d>
          <m:dPr>
            <m:ctrlPr>
              <w:rPr>
                <w:rFonts w:ascii="Cambria Math" w:hAnsi="Cambria Math"/>
              </w:rPr>
            </m:ctrlPr>
          </m:dPr>
          <m:e>
            <m:r>
              <w:rPr>
                <w:rFonts w:ascii="Cambria Math" w:hAnsi="Cambria Math"/>
              </w:rPr>
              <m:t>x</m:t>
            </m:r>
          </m:e>
        </m:d>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m:rPr>
                <m:sty m:val="p"/>
              </m:rPr>
              <w:rPr>
                <w:rFonts w:ascii="Cambria Math" w:hAnsi="Cambria Math"/>
              </w:rPr>
              <m:t>cos⁡</m:t>
            </m:r>
            <m:r>
              <w:rPr>
                <w:rFonts w:ascii="Cambria Math" w:hAnsi="Cambria Math"/>
              </w:rPr>
              <m:t>(2</m:t>
            </m:r>
            <m:r>
              <w:rPr>
                <w:rFonts w:ascii="Cambria Math" w:eastAsiaTheme="minorEastAsia" w:hAnsi="Cambria Math"/>
              </w:rPr>
              <m:t>θ)</m:t>
            </m:r>
          </m:e>
        </m:d>
      </m:oMath>
    </w:p>
    <w:p w14:paraId="5272F15A" w14:textId="77777777" w:rsidR="000E1DCB" w:rsidRDefault="000E1DCB" w:rsidP="000E1DCB">
      <w:pPr>
        <w:rPr>
          <w:rFonts w:eastAsiaTheme="minorEastAsia"/>
        </w:rPr>
      </w:pPr>
      <w:r>
        <w:rPr>
          <w:rFonts w:eastAsiaTheme="minorEastAsia"/>
        </w:rPr>
        <w:t>Substituting and integrating, we have:</w:t>
      </w:r>
    </w:p>
    <w:p w14:paraId="10B49283" w14:textId="1EED1CDA" w:rsidR="00670E99" w:rsidRDefault="000E1DCB" w:rsidP="00670E99">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m:rPr>
            <m:sty m:val="p"/>
          </m:rPr>
          <w:rPr>
            <w:rFonts w:ascii="Cambria Math" w:hAnsi="Cambria Math"/>
          </w:rPr>
          <m:t>=ln⁡(</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w:rPr>
            <w:rFonts w:ascii="Cambria Math" w:hAnsi="Cambria Math"/>
          </w:rPr>
          <m:t>)</m:t>
        </m:r>
        <m:nary>
          <m:naryPr>
            <m:limLoc m:val="subSup"/>
            <m:ctrlPr>
              <w:rPr>
                <w:rFonts w:ascii="Cambria Math" w:hAnsi="Cambria Math"/>
              </w:rPr>
            </m:ctrlPr>
          </m:naryPr>
          <m:sub>
            <m:sSub>
              <m:sSubPr>
                <m:ctrlPr>
                  <w:rPr>
                    <w:rFonts w:ascii="Cambria Math" w:hAnsi="Cambria Math"/>
                    <w:i/>
                  </w:rPr>
                </m:ctrlPr>
              </m:sSubPr>
              <m:e>
                <m:r>
                  <w:rPr>
                    <w:rFonts w:ascii="Cambria Math" w:hAnsi="Cambria Math"/>
                  </w:rPr>
                  <m:t>L</m:t>
                </m:r>
              </m:e>
              <m:sub>
                <m:r>
                  <w:rPr>
                    <w:rFonts w:ascii="Cambria Math" w:hAnsi="Cambria Math"/>
                  </w:rPr>
                  <m:t>1</m:t>
                </m:r>
              </m:sub>
            </m:sSub>
          </m:sub>
          <m:sup>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+R</m:t>
            </m:r>
          </m:sup>
          <m:e>
            <m:d>
              <m:dPr>
                <m:begChr m:val="|"/>
                <m:endChr m:val="|"/>
                <m:ctrlPr>
                  <w:rPr>
                    <w:rFonts w:ascii="Cambria Math" w:hAnsi="Cambria Math"/>
                    <w:i/>
                  </w:rPr>
                </m:ctrlPr>
              </m:dPr>
              <m:e>
                <m:r>
                  <m:rPr>
                    <m:sty m:val="p"/>
                  </m:rPr>
                  <w:rPr>
                    <w:rFonts w:ascii="Cambria Math" w:hAnsi="Cambria Math"/>
                  </w:rPr>
                  <m:t>cos⁡</m:t>
                </m:r>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m:t>
                    </m:r>
                    <m:rad>
                      <m:radPr>
                        <m:degHide m:val="1"/>
                        <m:ctrlPr>
                          <w:rPr>
                            <w:rFonts w:ascii="Cambria Math" w:hAnsi="Cambria Math"/>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1</m:t>
                                    </m:r>
                                  </m:sub>
                                </m:sSub>
                              </m:e>
                            </m:d>
                          </m:e>
                          <m:sup>
                            <m:r>
                              <w:rPr>
                                <w:rFonts w:ascii="Cambria Math" w:hAnsi="Cambria Math"/>
                              </w:rPr>
                              <m:t>2</m:t>
                            </m:r>
                          </m:sup>
                        </m:sSup>
                      </m:e>
                    </m:rad>
                    <m:r>
                      <w:rPr>
                        <w:rFonts w:ascii="Cambria Math" w:hAnsi="Cambria Math"/>
                      </w:rPr>
                      <m:t>/x)</m:t>
                    </m:r>
                  </m:e>
                </m:func>
                <m:r>
                  <w:rPr>
                    <w:rFonts w:ascii="Cambria Math" w:eastAsiaTheme="minorEastAsia" w:hAnsi="Cambria Math"/>
                  </w:rPr>
                  <m:t>)</m:t>
                </m:r>
              </m:e>
            </m:d>
          </m:e>
        </m:nary>
        <m:r>
          <m:rPr>
            <m:sty m:val="p"/>
          </m:rPr>
          <w:rPr>
            <w:rFonts w:ascii="Cambria Math" w:hAnsi="Cambria Math"/>
          </w:rPr>
          <m:t>d</m:t>
        </m:r>
        <m:r>
          <w:rPr>
            <w:rFonts w:ascii="Cambria Math" w:hAnsi="Cambria Math"/>
          </w:rPr>
          <m:t>x</m:t>
        </m:r>
      </m:oMath>
    </w:p>
    <w:p w14:paraId="20B1969A" w14:textId="70CBF1AE" w:rsidR="00670E99" w:rsidRDefault="00670E99" w:rsidP="00670E99">
      <w:pPr>
        <w:rPr>
          <w:rFonts w:eastAsiaTheme="minorEastAsia"/>
        </w:rPr>
      </w:pPr>
      <w:r>
        <w:t>For the anti-strike direction</w:t>
      </w:r>
      <w:r w:rsidR="00835B2B">
        <w:t xml:space="preserve"> (Region 4)</w:t>
      </w:r>
      <w:r>
        <w:t>, equivalently:</w:t>
      </w:r>
    </w:p>
    <w:p w14:paraId="57EB5BE6" w14:textId="6FE2C05C" w:rsidR="00670E99" w:rsidRDefault="00670E99" w:rsidP="00670E99">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4</m:t>
            </m:r>
          </m:sub>
        </m:sSub>
        <m:r>
          <m:rPr>
            <m:sty m:val="p"/>
          </m:rPr>
          <w:rPr>
            <w:rFonts w:ascii="Cambria Math" w:hAnsi="Cambria Math"/>
          </w:rPr>
          <m:t>=ln⁡(</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w:rPr>
            <w:rFonts w:ascii="Cambria Math" w:hAnsi="Cambria Math"/>
          </w:rPr>
          <m:t>)</m:t>
        </m:r>
        <m:nary>
          <m:naryPr>
            <m:limLoc m:val="subSup"/>
            <m:ctrlPr>
              <w:rPr>
                <w:rFonts w:ascii="Cambria Math" w:hAnsi="Cambria Math"/>
              </w:rPr>
            </m:ctrlPr>
          </m:naryPr>
          <m:sub>
            <m:sSub>
              <m:sSubPr>
                <m:ctrlPr>
                  <w:rPr>
                    <w:rFonts w:ascii="Cambria Math" w:hAnsi="Cambria Math"/>
                    <w:i/>
                  </w:rPr>
                </m:ctrlPr>
              </m:sSubPr>
              <m:e>
                <m:r>
                  <w:rPr>
                    <w:rFonts w:ascii="Cambria Math" w:hAnsi="Cambria Math"/>
                  </w:rPr>
                  <m:t>L</m:t>
                </m:r>
              </m:e>
              <m:sub>
                <m:r>
                  <w:rPr>
                    <w:rFonts w:ascii="Cambria Math" w:hAnsi="Cambria Math"/>
                  </w:rPr>
                  <m:t>2</m:t>
                </m:r>
              </m:sub>
            </m:sSub>
          </m:sub>
          <m:sup>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+R</m:t>
            </m:r>
          </m:sup>
          <m:e>
            <m:d>
              <m:dPr>
                <m:begChr m:val="|"/>
                <m:endChr m:val="|"/>
                <m:ctrlPr>
                  <w:rPr>
                    <w:rFonts w:ascii="Cambria Math" w:hAnsi="Cambria Math"/>
                    <w:i/>
                  </w:rPr>
                </m:ctrlPr>
              </m:dPr>
              <m:e>
                <m:r>
                  <m:rPr>
                    <m:sty m:val="p"/>
                  </m:rPr>
                  <w:rPr>
                    <w:rFonts w:ascii="Cambria Math" w:hAnsi="Cambria Math"/>
                  </w:rPr>
                  <m:t>cos⁡</m:t>
                </m:r>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m:t>
                    </m:r>
                    <m:rad>
                      <m:radPr>
                        <m:degHide m:val="1"/>
                        <m:ctrlPr>
                          <w:rPr>
                            <w:rFonts w:ascii="Cambria Math" w:hAnsi="Cambria Math"/>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2</m:t>
                                    </m:r>
                                  </m:sub>
                                </m:sSub>
                              </m:e>
                            </m:d>
                          </m:e>
                          <m:sup>
                            <m:r>
                              <w:rPr>
                                <w:rFonts w:ascii="Cambria Math" w:hAnsi="Cambria Math"/>
                              </w:rPr>
                              <m:t>2</m:t>
                            </m:r>
                          </m:sup>
                        </m:sSup>
                      </m:e>
                    </m:rad>
                    <m:r>
                      <w:rPr>
                        <w:rFonts w:ascii="Cambria Math" w:hAnsi="Cambria Math"/>
                      </w:rPr>
                      <m:t>/x)</m:t>
                    </m:r>
                  </m:e>
                </m:func>
                <m:r>
                  <w:rPr>
                    <w:rFonts w:ascii="Cambria Math" w:eastAsiaTheme="minorEastAsia" w:hAnsi="Cambria Math"/>
                  </w:rPr>
                  <m:t>)</m:t>
                </m:r>
              </m:e>
            </m:d>
          </m:e>
        </m:nary>
        <m:r>
          <m:rPr>
            <m:sty m:val="p"/>
          </m:rPr>
          <w:rPr>
            <w:rFonts w:ascii="Cambria Math" w:hAnsi="Cambria Math"/>
          </w:rPr>
          <m:t>d</m:t>
        </m:r>
        <m:r>
          <w:rPr>
            <w:rFonts w:ascii="Cambria Math" w:hAnsi="Cambria Math"/>
          </w:rPr>
          <m:t>x</m:t>
        </m:r>
      </m:oMath>
    </w:p>
    <w:p w14:paraId="1EA1FA04" w14:textId="50ED3CD0" w:rsidR="000E1DCB" w:rsidRPr="00D3677F" w:rsidRDefault="00D3677F" w:rsidP="00D3677F">
      <w:pPr>
        <w:ind w:firstLine="0"/>
        <w:rPr>
          <w:b/>
          <w:bCs/>
        </w:rPr>
      </w:pPr>
      <w:r>
        <w:rPr>
          <w:b/>
          <w:bCs/>
        </w:rPr>
        <w:t>All Regions</w:t>
      </w:r>
    </w:p>
    <w:p w14:paraId="0B1D435D" w14:textId="7A861DBC" w:rsidR="00670E99" w:rsidRDefault="00670E99" w:rsidP="000B3725">
      <w:r>
        <w:t xml:space="preserve">Using the Mean Value Theorem,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oMath>
      <w:r>
        <w:rPr>
          <w:rFonts w:eastAsiaTheme="minorEastAsia"/>
        </w:rPr>
        <w:t xml:space="preserve"> </w:t>
      </w:r>
      <w:r>
        <w:t xml:space="preserve">is the definite integral of the continuous function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00DB1A48">
        <w:t xml:space="preserve"> divided by the interval length</w:t>
      </w:r>
      <w:r>
        <w:t>, or equivalently:</w:t>
      </w:r>
    </w:p>
    <w:p w14:paraId="59A2BA52" w14:textId="2399A4D6" w:rsidR="00670E99" w:rsidRPr="00670E99" w:rsidRDefault="00670E99" w:rsidP="000B3725">
      <w:r>
        <w:tab/>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4</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+R+R</m:t>
            </m:r>
          </m:den>
        </m:f>
      </m:oMath>
    </w:p>
    <w:p w14:paraId="1303109D" w14:textId="72E60AFC" w:rsidR="00DB1A48" w:rsidRDefault="00835B2B" w:rsidP="000B3725">
      <w:r>
        <w:t>If solved, t</w:t>
      </w:r>
      <w:r w:rsidR="00670E99">
        <w:t xml:space="preserve">his </w:t>
      </w:r>
      <w:r>
        <w:t xml:space="preserve">would represent the </w:t>
      </w:r>
      <w:r w:rsidR="00670E99">
        <w:t>closed form solution.</w:t>
      </w:r>
      <w:r>
        <w:t xml:space="preserve"> </w:t>
      </w:r>
      <w:r w:rsidR="00DB1A48">
        <w:t>Only one side of the fault is included in this calculation because of symmetry.</w:t>
      </w:r>
      <w:r w:rsidR="00190911">
        <w:t xml:space="preserve"> As a result, when this method is applied to curved ruptures the solution for </w:t>
      </w:r>
      <w:r w:rsidR="00DB1A48">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oMath>
      <w:r w:rsidR="00190911">
        <w:rPr>
          <w:rFonts w:eastAsiaTheme="minorEastAsia"/>
        </w:rPr>
        <w:t xml:space="preserve"> </w:t>
      </w:r>
      <w:r w:rsidR="00190911">
        <w:t>is an approximation.</w:t>
      </w:r>
    </w:p>
    <w:p w14:paraId="047A35EE" w14:textId="4583BE8B" w:rsidR="00670E99" w:rsidRPr="00670E99" w:rsidRDefault="00670E99" w:rsidP="000B3725">
      <w:r>
        <w:t xml:space="preserve">In the </w:t>
      </w:r>
      <w:proofErr w:type="spellStart"/>
      <w:r>
        <w:t>Matlab</w:t>
      </w:r>
      <w:proofErr w:type="spellEnd"/>
      <w:r>
        <w:t xml:space="preserve"> implementation of the model provided with this </w:t>
      </w:r>
      <w:r w:rsidR="003D1489">
        <w:t>article</w:t>
      </w:r>
      <w:r>
        <w:t xml:space="preserve">, the </w:t>
      </w:r>
      <w:r w:rsidR="00B318AC">
        <w:t>numerical</w:t>
      </w:r>
      <w:r>
        <w:t xml:space="preserve"> method is used. In this method, the integrands of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oMath>
      <w: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oMath>
      <w:r>
        <w:t xml:space="preserve">, and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4</m:t>
            </m:r>
          </m:sub>
        </m:sSub>
      </m:oMath>
      <w:r>
        <w:t xml:space="preserve"> are calculated numerically </w:t>
      </w:r>
      <w:r w:rsidR="00835B2B">
        <w:t xml:space="preserve">for sites </w:t>
      </w:r>
      <w:r w:rsidR="00DB1A48">
        <w:t>using the spacing</w:t>
      </w:r>
      <w:r w:rsidR="00835B2B">
        <w:t xml:space="preserve"> </w:t>
      </w:r>
      <m:oMath>
        <m:r>
          <w:rPr>
            <w:rFonts w:ascii="Cambria Math" w:hAnsi="Cambria Math"/>
          </w:rPr>
          <m:t>dx</m:t>
        </m:r>
      </m:oMath>
      <w:r w:rsidR="00835B2B">
        <w:t xml:space="preserve"> = 0.1 km</w:t>
      </w:r>
      <w:r w:rsidR="00DB1A48">
        <w:t>,</w:t>
      </w:r>
      <w:r w:rsidR="00835B2B">
        <w:t xml:space="preserve"> and the mean value for sites in all four regions is computed.</w:t>
      </w:r>
    </w:p>
    <w:p w14:paraId="1880CC5A" w14:textId="56A17382" w:rsidR="00081E70" w:rsidRDefault="00081E70" w:rsidP="00D3677F">
      <w:pPr>
        <w:spacing w:after="0"/>
        <w:ind w:firstLine="0"/>
        <w:jc w:val="left"/>
      </w:pPr>
      <w:r>
        <w:br w:type="page"/>
      </w:r>
    </w:p>
    <w:p w14:paraId="4A43D9BD" w14:textId="771EE2FF" w:rsidR="00081E70" w:rsidRDefault="00081E70" w:rsidP="00C40932">
      <w:pPr>
        <w:pStyle w:val="Heading1"/>
      </w:pPr>
      <w:bookmarkStart w:id="2" w:name="_Toc158293737"/>
      <w:r>
        <w:lastRenderedPageBreak/>
        <w:t xml:space="preserve">Appendix </w:t>
      </w:r>
      <w:r w:rsidR="00E347DC">
        <w:t>D</w:t>
      </w:r>
      <w:r>
        <w:t xml:space="preserve">: </w:t>
      </w:r>
      <w:r w:rsidR="00931152">
        <w:t xml:space="preserve">Median </w:t>
      </w:r>
      <w:r w:rsidRPr="00C40932">
        <w:t>Model</w:t>
      </w:r>
      <w:r>
        <w:t xml:space="preserve"> Development</w:t>
      </w:r>
      <w:bookmarkEnd w:id="2"/>
    </w:p>
    <w:p w14:paraId="49C02861" w14:textId="665EC168" w:rsidR="00C30333" w:rsidRDefault="00C30333" w:rsidP="00C30333">
      <w:r>
        <w:t xml:space="preserve">The median model is developed following a similar approach taken as in Bea20. </w:t>
      </w:r>
      <w:r w:rsidR="00D74BB7">
        <w:t>The</w:t>
      </w:r>
      <w:r>
        <w:t xml:space="preserve"> approach utilizes within-event residuals and fits a parametric model relating the Bea24 directivity predictor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t>) to these residuals to model the directivity effect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t xml:space="preserve">) </w:t>
      </w:r>
      <w:r w:rsidR="00D74BB7">
        <w:t>and its period-dependence</w:t>
      </w:r>
      <w:r>
        <w:t xml:space="preserve">. Residuals are for the RotD50 </w:t>
      </w:r>
      <w:r w:rsidR="00EC7FFA">
        <w:t xml:space="preserve">(Boore et al., 2010) </w:t>
      </w:r>
      <w:r>
        <w:t>horizontal component of 5% damped spectral acceleration, calculated from three NGA-W2 GMMs (</w:t>
      </w:r>
      <w:r w:rsidRPr="00DD067A">
        <w:t>A</w:t>
      </w:r>
      <w:r>
        <w:t xml:space="preserve">brahamson et al., 2014; </w:t>
      </w:r>
      <w:r w:rsidRPr="00DD067A">
        <w:t>B</w:t>
      </w:r>
      <w:r>
        <w:t xml:space="preserve">oore et al., 2014; </w:t>
      </w:r>
      <w:r w:rsidRPr="00DD067A">
        <w:t>C</w:t>
      </w:r>
      <w:r>
        <w:t xml:space="preserve">ampbell and </w:t>
      </w:r>
      <w:proofErr w:type="spellStart"/>
      <w:r>
        <w:t>Bozorgnia</w:t>
      </w:r>
      <w:proofErr w:type="spellEnd"/>
      <w:r>
        <w:t xml:space="preserve">, 2014). Two databases are used: one from the suite of simulations described in Bea20, and the second from NGA-W2 recordings of strike-slip earthquakes with a finite fault model and at least 5 recordings. </w:t>
      </w:r>
    </w:p>
    <w:p w14:paraId="677ABCA9" w14:textId="08316E24" w:rsidR="00B22CCF" w:rsidRDefault="00C30333" w:rsidP="00C30333">
      <w:r>
        <w:t>The steps taken to develop the median model are performed on both databases (simulated and recorded) separately. The steps are:</w:t>
      </w:r>
    </w:p>
    <w:p w14:paraId="48AB3684" w14:textId="1B4EDA33" w:rsidR="00C30333" w:rsidRDefault="00C30333" w:rsidP="00C30333">
      <w:r>
        <w:t>For each event:</w:t>
      </w:r>
    </w:p>
    <w:p w14:paraId="403F2C09" w14:textId="25775951" w:rsidR="00C30333" w:rsidRDefault="00C30333" w:rsidP="00D74BB7">
      <w:pPr>
        <w:pStyle w:val="ListParagraph"/>
        <w:numPr>
          <w:ilvl w:val="0"/>
          <w:numId w:val="31"/>
        </w:numPr>
      </w:pPr>
      <w:r>
        <w:t xml:space="preserve">Calculate the value Bea24 </w:t>
      </w:r>
      <w:r w:rsidR="00D74BB7">
        <w:t xml:space="preserve">centered </w:t>
      </w:r>
      <w:r>
        <w:t>directivity predictor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t>) at each site where there is data (recorded or simulated).</w:t>
      </w:r>
    </w:p>
    <w:p w14:paraId="7DFBB4A6" w14:textId="3A6A2BAD" w:rsidR="00C30333" w:rsidRPr="00D74BB7" w:rsidRDefault="00C30333" w:rsidP="00D74BB7">
      <w:pPr>
        <w:pStyle w:val="ListParagraph"/>
        <w:numPr>
          <w:ilvl w:val="0"/>
          <w:numId w:val="31"/>
        </w:numPr>
      </w:pPr>
      <w:r>
        <w:t xml:space="preserve">For each spectral period, use the residuals to fit the free parameters from Equation 2: </w:t>
      </w:r>
      <m:oMath>
        <m:r>
          <w:rPr>
            <w:rFonts w:ascii="Cambria Math" w:hAnsi="Cambria Math" w:cs="Arial"/>
          </w:rPr>
          <m:t>k</m:t>
        </m:r>
      </m:oMath>
      <w:r>
        <w:rPr>
          <w:rFonts w:eastAsiaTheme="minorEastAsia"/>
        </w:rPr>
        <w:t xml:space="preserve"> and </w:t>
      </w:r>
      <m:oMath>
        <m:r>
          <w:rPr>
            <w:rFonts w:ascii="Cambria Math" w:eastAsiaTheme="minorEastAsia" w:hAnsi="Cambria Math"/>
          </w:rPr>
          <m:t>A</m:t>
        </m:r>
      </m:oMath>
      <w:r>
        <w:rPr>
          <w:rFonts w:eastAsiaTheme="minorEastAsia"/>
        </w:rPr>
        <w:t xml:space="preserve">. </w:t>
      </w:r>
      <w:r w:rsidRPr="00D74BB7">
        <w:rPr>
          <w:rFonts w:eastAsiaTheme="minorEastAsia"/>
        </w:rPr>
        <w:t xml:space="preserve">The limiting upper and lower bound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sidRPr="00D74BB7">
        <w:rPr>
          <w:rFonts w:eastAsiaTheme="minorEastAsia"/>
        </w:rPr>
        <w:t xml:space="preserve"> is </w:t>
      </w:r>
      <m:oMath>
        <m:r>
          <w:rPr>
            <w:rFonts w:ascii="Cambria Math" w:eastAsiaTheme="minorEastAsia" w:hAnsi="Cambria Math"/>
          </w:rPr>
          <m:t>±A</m:t>
        </m:r>
      </m:oMath>
      <w:r w:rsidRPr="00D74BB7">
        <w:rPr>
          <w:rFonts w:eastAsiaTheme="minorEastAsia"/>
        </w:rPr>
        <w:t xml:space="preserve">, and </w:t>
      </w:r>
      <m:oMath>
        <m:r>
          <w:rPr>
            <w:rFonts w:ascii="Cambria Math" w:hAnsi="Cambria Math" w:cs="Arial"/>
          </w:rPr>
          <m:t>k</m:t>
        </m:r>
      </m:oMath>
      <w:r w:rsidRPr="00D74BB7">
        <w:rPr>
          <w:rFonts w:eastAsiaTheme="minorEastAsia"/>
        </w:rPr>
        <w:t xml:space="preserve"> represents the slope of the relationship between </w:t>
      </w:r>
      <m:oMath>
        <m:sSub>
          <m:sSubPr>
            <m:ctrlPr>
              <w:rPr>
                <w:rFonts w:ascii="Cambria Math" w:hAnsi="Cambria Math" w:cs="Arial"/>
                <w:i/>
              </w:rPr>
            </m:ctrlPr>
          </m:sSubPr>
          <m:e>
            <m:r>
              <w:rPr>
                <w:rFonts w:ascii="Cambria Math" w:hAnsi="Cambria Math" w:cs="Arial"/>
              </w:rPr>
              <m:t>f</m:t>
            </m:r>
          </m:e>
          <m:sub>
            <m:r>
              <w:rPr>
                <w:rFonts w:ascii="Cambria Math" w:hAnsi="Cambria Math" w:cs="Arial"/>
              </w:rPr>
              <m:t>G</m:t>
            </m:r>
          </m:sub>
        </m:sSub>
        <m:r>
          <w:rPr>
            <w:rFonts w:ascii="Cambria Math" w:hAnsi="Cambria Math" w:cs="Arial"/>
          </w:rPr>
          <m:t>'</m:t>
        </m:r>
      </m:oMath>
      <w:r w:rsidRPr="00D74BB7">
        <w:rPr>
          <w:rFonts w:eastAsiaTheme="minorEastAsia"/>
        </w:rPr>
        <w:t xml:space="preserve"> and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sidRPr="00D74BB7">
        <w:rPr>
          <w:rFonts w:eastAsiaTheme="minorEastAsia"/>
        </w:rPr>
        <w:t>.</w:t>
      </w:r>
    </w:p>
    <w:p w14:paraId="25816E52" w14:textId="368D820D" w:rsidR="00C30333" w:rsidRPr="00C30333" w:rsidRDefault="00C30333" w:rsidP="00C30333">
      <w:r>
        <w:t>Considering all events:</w:t>
      </w:r>
    </w:p>
    <w:p w14:paraId="0B35B96A" w14:textId="075C0ED0" w:rsidR="00C30333" w:rsidRPr="00C30333" w:rsidRDefault="00C30333" w:rsidP="00D74BB7">
      <w:pPr>
        <w:pStyle w:val="ListParagraph"/>
        <w:numPr>
          <w:ilvl w:val="0"/>
          <w:numId w:val="31"/>
        </w:numPr>
      </w:pPr>
      <w:r>
        <w:rPr>
          <w:rFonts w:eastAsiaTheme="minorEastAsia"/>
        </w:rPr>
        <w:t xml:space="preserve">Evaluate the magnitude and period dependence of </w:t>
      </w:r>
      <m:oMath>
        <m:r>
          <w:rPr>
            <w:rFonts w:ascii="Cambria Math" w:hAnsi="Cambria Math" w:cs="Arial"/>
          </w:rPr>
          <m:t>k</m:t>
        </m:r>
      </m:oMath>
      <w:r w:rsidR="00F06EDB">
        <w:rPr>
          <w:rFonts w:eastAsiaTheme="minorEastAsia"/>
        </w:rPr>
        <w:t xml:space="preserve"> and of </w:t>
      </w:r>
      <w:r>
        <w:rPr>
          <w:rFonts w:eastAsiaTheme="minorEastAsia"/>
        </w:rPr>
        <w:t xml:space="preserve">the peak value of </w:t>
      </w:r>
      <m:oMath>
        <m:r>
          <w:rPr>
            <w:rFonts w:ascii="Cambria Math" w:eastAsiaTheme="minorEastAsia" w:hAnsi="Cambria Math"/>
          </w:rPr>
          <m:t>A</m:t>
        </m:r>
      </m:oMath>
      <w:r>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Pr>
          <w:rFonts w:eastAsiaTheme="minorEastAsia"/>
        </w:rPr>
        <w:t>).</w:t>
      </w:r>
    </w:p>
    <w:p w14:paraId="1B8F9F48" w14:textId="0D09B0EA" w:rsidR="00C30333" w:rsidRPr="00C30333" w:rsidRDefault="00C30333" w:rsidP="00D74BB7">
      <w:pPr>
        <w:pStyle w:val="ListParagraph"/>
        <w:numPr>
          <w:ilvl w:val="0"/>
          <w:numId w:val="31"/>
        </w:numPr>
      </w:pPr>
      <w:r>
        <w:rPr>
          <w:rFonts w:eastAsiaTheme="minorEastAsia"/>
        </w:rPr>
        <w:t xml:space="preserve">Evaluate and model the magnitude dependence of the period corresponding to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Pr>
          <w:rFonts w:eastAsiaTheme="minorEastAsia"/>
        </w:rPr>
        <w:t xml:space="preserve"> (</w:t>
      </w:r>
      <m:oMath>
        <m:sSub>
          <m:sSubPr>
            <m:ctrlPr>
              <w:rPr>
                <w:rFonts w:ascii="Cambria Math" w:hAnsi="Cambria Math" w:cstheme="minorHAnsi"/>
                <w:iCs/>
              </w:rPr>
            </m:ctrlPr>
          </m:sSubPr>
          <m:e>
            <m:r>
              <m:rPr>
                <m:sty m:val="p"/>
              </m:rPr>
              <w:rPr>
                <w:rFonts w:ascii="Cambria Math" w:eastAsiaTheme="minorEastAsia" w:hAnsi="Cambria Math"/>
              </w:rPr>
              <m:t>T</m:t>
            </m:r>
          </m:e>
          <m:sub>
            <m:r>
              <m:rPr>
                <m:sty m:val="p"/>
              </m:rPr>
              <w:rPr>
                <w:rFonts w:ascii="Cambria Math" w:hAnsi="Cambria Math" w:cstheme="minorHAnsi"/>
              </w:rPr>
              <m:t>peak</m:t>
            </m:r>
          </m:sub>
        </m:sSub>
      </m:oMath>
      <w:r>
        <w:rPr>
          <w:rFonts w:eastAsiaTheme="minorEastAsia"/>
          <w:iCs/>
        </w:rPr>
        <w:t>; Equation 4</w:t>
      </w:r>
      <w:r w:rsidR="00F13928">
        <w:rPr>
          <w:rFonts w:eastAsiaTheme="minorEastAsia"/>
          <w:iCs/>
        </w:rPr>
        <w:t>b</w:t>
      </w:r>
      <w:r>
        <w:rPr>
          <w:rFonts w:eastAsiaTheme="minorEastAsia"/>
        </w:rPr>
        <w:t>)</w:t>
      </w:r>
    </w:p>
    <w:p w14:paraId="444A0D7A" w14:textId="6079D79A" w:rsidR="00C30333" w:rsidRPr="00C30333" w:rsidRDefault="00C30333" w:rsidP="00D74BB7">
      <w:pPr>
        <w:pStyle w:val="ListParagraph"/>
        <w:numPr>
          <w:ilvl w:val="0"/>
          <w:numId w:val="31"/>
        </w:numPr>
      </w:pPr>
      <w:r>
        <w:t xml:space="preserve">Model </w:t>
      </w:r>
      <m:oMath>
        <m:r>
          <w:rPr>
            <w:rFonts w:ascii="Cambria Math" w:hAnsi="Cambria Math"/>
          </w:rPr>
          <m:t>A</m:t>
        </m:r>
      </m:oMath>
      <w:r>
        <w:rPr>
          <w:rFonts w:eastAsiaTheme="minorEastAsia"/>
        </w:rPr>
        <w:t xml:space="preserve"> with a Gaussian function of period (Equation 4</w:t>
      </w:r>
      <w:r w:rsidR="00F13928">
        <w:rPr>
          <w:rFonts w:eastAsiaTheme="minorEastAsia"/>
        </w:rPr>
        <w:t>a</w:t>
      </w:r>
      <w:r>
        <w:rPr>
          <w:rFonts w:eastAsiaTheme="minorEastAsia"/>
        </w:rPr>
        <w:t xml:space="preserve">). This function has maximum value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Pr>
          <w:rFonts w:eastAsiaTheme="minorEastAsia"/>
        </w:rPr>
        <w:t xml:space="preserve"> and is centered on period </w:t>
      </w:r>
      <m:oMath>
        <m:sSub>
          <m:sSubPr>
            <m:ctrlPr>
              <w:rPr>
                <w:rFonts w:ascii="Cambria Math" w:hAnsi="Cambria Math"/>
                <w:i/>
              </w:rPr>
            </m:ctrlPr>
          </m:sSubPr>
          <m:e>
            <m:r>
              <m:rPr>
                <m:nor/>
              </m:rPr>
              <w:rPr>
                <w:rFonts w:cstheme="minorHAnsi"/>
              </w:rPr>
              <m:t>T</m:t>
            </m:r>
          </m:e>
          <m:sub>
            <m:r>
              <w:rPr>
                <w:rFonts w:ascii="Cambria Math" w:hAnsi="Cambria Math"/>
              </w:rPr>
              <m:t>peak</m:t>
            </m:r>
          </m:sub>
        </m:sSub>
      </m:oMath>
      <w:r>
        <w:rPr>
          <w:rFonts w:eastAsiaTheme="minorEastAsia"/>
        </w:rPr>
        <w:t xml:space="preserve">. The standard deviation (width parameter) of the Gaussian function is </w:t>
      </w:r>
      <m:oMath>
        <m:sSub>
          <m:sSubPr>
            <m:ctrlPr>
              <w:rPr>
                <w:rFonts w:ascii="Cambria Math" w:hAnsi="Cambria Math"/>
                <w:i/>
              </w:rPr>
            </m:ctrlPr>
          </m:sSubPr>
          <m:e>
            <m:r>
              <w:rPr>
                <w:rFonts w:ascii="Cambria Math" w:hAnsi="Cambria Math"/>
              </w:rPr>
              <m:t>σ</m:t>
            </m:r>
          </m:e>
          <m:sub>
            <m:r>
              <w:rPr>
                <w:rFonts w:ascii="Cambria Math" w:hAnsi="Cambria Math"/>
              </w:rPr>
              <m:t>g</m:t>
            </m:r>
          </m:sub>
        </m:sSub>
      </m:oMath>
      <w:r>
        <w:rPr>
          <w:rFonts w:eastAsiaTheme="minorEastAsia"/>
        </w:rPr>
        <w:t>.</w:t>
      </w:r>
    </w:p>
    <w:p w14:paraId="430DCA89" w14:textId="42AC056D" w:rsidR="00C30333" w:rsidRDefault="00C30333" w:rsidP="00D74BB7">
      <w:pPr>
        <w:pStyle w:val="ListParagraph"/>
        <w:numPr>
          <w:ilvl w:val="0"/>
          <w:numId w:val="31"/>
        </w:numPr>
      </w:pPr>
      <w:r>
        <w:t xml:space="preserve">Perform a nonlinear least squares regression using the database residuals to derive the </w:t>
      </w:r>
      <w:r w:rsidR="00D74BB7">
        <w:t xml:space="preserve">period-independent </w:t>
      </w:r>
      <w:r>
        <w:t>model coefficients</w:t>
      </w:r>
      <w:r w:rsidR="00D74BB7">
        <w:t xml:space="preserve">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sidR="00D74BB7">
        <w:t xml:space="preserve"> and </w:t>
      </w:r>
      <m:oMath>
        <m:r>
          <w:rPr>
            <w:rFonts w:ascii="Cambria Math" w:hAnsi="Cambria Math" w:cs="Arial"/>
          </w:rPr>
          <m:t>k</m:t>
        </m:r>
      </m:oMath>
      <w:r w:rsidR="00D74BB7">
        <w:t>. T</w:t>
      </w:r>
      <w:proofErr w:type="spellStart"/>
      <w:r w:rsidR="00D74BB7" w:rsidRPr="00D74BB7">
        <w:t>hese</w:t>
      </w:r>
      <w:proofErr w:type="spellEnd"/>
      <w:r w:rsidR="00D74BB7" w:rsidRPr="00D74BB7">
        <w:t xml:space="preserve"> coefficients are estimated by a joint regression with combined data of all periods</w:t>
      </w:r>
      <w:r w:rsidR="00D74BB7">
        <w:t>.</w:t>
      </w:r>
      <w:r w:rsidR="007565CF">
        <w:t xml:space="preserve"> Because</w:t>
      </w:r>
      <w:r w:rsidR="007565CF" w:rsidRPr="007565CF">
        <w:t xml:space="preserve"> there is potential for tradeoff in the coefficients (in this case, arriving at the same result with two sets of values for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sidR="007565CF">
        <w:t xml:space="preserve"> and </w:t>
      </w:r>
      <m:oMath>
        <m:r>
          <w:rPr>
            <w:rFonts w:ascii="Cambria Math" w:hAnsi="Cambria Math" w:cs="Arial"/>
          </w:rPr>
          <m:t>k</m:t>
        </m:r>
      </m:oMath>
      <w:r w:rsidR="007565CF" w:rsidRPr="007565CF">
        <w:t>)</w:t>
      </w:r>
      <w:r w:rsidR="007565CF">
        <w:t>,</w:t>
      </w:r>
      <w:r w:rsidR="007565CF" w:rsidRPr="007565CF">
        <w:t xml:space="preserve"> in the final version we fixed </w:t>
      </w:r>
      <m:oMath>
        <m:r>
          <w:rPr>
            <w:rFonts w:ascii="Cambria Math" w:hAnsi="Cambria Math" w:cs="Arial"/>
          </w:rPr>
          <m:t>k</m:t>
        </m:r>
      </m:oMath>
      <w:r w:rsidR="007565CF">
        <w:t>.</w:t>
      </w:r>
      <w:r w:rsidR="007565CF" w:rsidRPr="007565CF">
        <w:t xml:space="preserve"> The value of </w:t>
      </w:r>
      <m:oMath>
        <m:r>
          <w:rPr>
            <w:rFonts w:ascii="Cambria Math" w:hAnsi="Cambria Math" w:cs="Arial"/>
          </w:rPr>
          <m:t>k</m:t>
        </m:r>
      </m:oMath>
      <w:r w:rsidR="007565CF" w:rsidRPr="007565CF">
        <w:t xml:space="preserve"> was </w:t>
      </w:r>
      <w:r w:rsidR="007565CF">
        <w:t xml:space="preserve">determined to be 1.58 based on </w:t>
      </w:r>
      <w:r w:rsidR="00246222">
        <w:t>step 3 in the above process</w:t>
      </w:r>
      <w:r w:rsidR="007565CF" w:rsidRPr="007565CF">
        <w:t xml:space="preserve">.  </w:t>
      </w:r>
    </w:p>
    <w:p w14:paraId="61D313EE" w14:textId="7F0E6E45" w:rsidR="00C30333" w:rsidRDefault="00C30333" w:rsidP="00C30333">
      <w:r>
        <w:lastRenderedPageBreak/>
        <w:t>The final step (regression) was performed for both datasets independently to inform the rupture directivity modeling. We found that the simulations, which have significantly more near-fault stations and better azimuthal coverage than the data, demonstrate stronger scaling with the directivity parameters and over a broader period range. The NGA-W2 data generally demonstrate weaker scaling over a narrower period range. As a result, directivity model coefficients are provided based on both datasets. The models derived from both datasets have the same functional form and only differ in their coefficients.</w:t>
      </w:r>
    </w:p>
    <w:p w14:paraId="6AAF979F" w14:textId="77777777" w:rsidR="00C30333" w:rsidRDefault="00C30333" w:rsidP="00081E70">
      <w:pPr>
        <w:spacing w:after="0"/>
        <w:jc w:val="left"/>
      </w:pPr>
    </w:p>
    <w:p w14:paraId="5CCB2A57" w14:textId="77777777" w:rsidR="00D74BB7" w:rsidRDefault="00D74BB7">
      <w:pPr>
        <w:spacing w:after="0"/>
        <w:jc w:val="left"/>
        <w:rPr>
          <w:u w:val="single"/>
        </w:rPr>
      </w:pPr>
      <w:r>
        <w:rPr>
          <w:u w:val="single"/>
        </w:rPr>
        <w:br w:type="page"/>
      </w:r>
    </w:p>
    <w:p w14:paraId="46F6347D" w14:textId="674F004B" w:rsidR="00B22CCF" w:rsidRPr="00D3677F" w:rsidRDefault="00B22CCF" w:rsidP="00006FF4">
      <w:pPr>
        <w:ind w:firstLine="0"/>
        <w:rPr>
          <w:b/>
          <w:bCs/>
        </w:rPr>
      </w:pPr>
      <w:r w:rsidRPr="00D3677F">
        <w:rPr>
          <w:b/>
          <w:bCs/>
        </w:rPr>
        <w:lastRenderedPageBreak/>
        <w:t>Simulations</w:t>
      </w:r>
    </w:p>
    <w:p w14:paraId="1CC32672" w14:textId="3199B2B4" w:rsidR="00D74BB7" w:rsidRDefault="00D74BB7" w:rsidP="00D74BB7">
      <w:pPr>
        <w:spacing w:after="0"/>
        <w:jc w:val="left"/>
        <w:rPr>
          <w:rFonts w:eastAsiaTheme="minorEastAsia"/>
        </w:rPr>
      </w:pPr>
      <w:r>
        <w:t xml:space="preserve">Figure </w:t>
      </w:r>
      <w:r w:rsidR="00935168">
        <w:t>D</w:t>
      </w:r>
      <w:r>
        <w:t xml:space="preserve">1 </w:t>
      </w:r>
      <w:r w:rsidR="008B5090">
        <w:t>provides an example of</w:t>
      </w:r>
      <w:r>
        <w:t xml:space="preserve"> Step 2 for the Landers earthquake simulation using the Graves and </w:t>
      </w:r>
      <w:proofErr w:type="spellStart"/>
      <w:r>
        <w:t>Pitarka</w:t>
      </w:r>
      <w:proofErr w:type="spellEnd"/>
      <w:r>
        <w:t xml:space="preserve"> (2014) simulation method; the simulations are described in Bea20. This figure</w:t>
      </w:r>
      <w:r>
        <w:rPr>
          <w:rFonts w:eastAsiaTheme="minorEastAsia"/>
        </w:rPr>
        <w:t xml:space="preserve"> shows within-event residuals (</w:t>
      </w:r>
      <m:oMath>
        <m:r>
          <w:rPr>
            <w:rFonts w:ascii="Cambria Math" w:eastAsiaTheme="minorEastAsia" w:hAnsi="Cambria Math"/>
          </w:rPr>
          <m:t>δW</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es</m:t>
            </m:r>
          </m:sub>
        </m:sSub>
      </m:oMath>
      <w:r>
        <w:rPr>
          <w:rFonts w:eastAsiaTheme="minorEastAsia"/>
        </w:rPr>
        <w:t xml:space="preserve">; blue) versus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at T=6.5 sec. Binned means with 95% confidence interval for small intervals of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are shown in red. The model for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Pr>
          <w:rFonts w:eastAsiaTheme="minorEastAsia"/>
        </w:rPr>
        <w:t xml:space="preserve"> fit to the simulation residuals shown (at this period) is given by the dashed green line. The final Bea24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Pr>
          <w:rFonts w:eastAsiaTheme="minorEastAsia"/>
        </w:rPr>
        <w:t xml:space="preserve"> model (Model 1</w:t>
      </w:r>
      <w:r w:rsidR="008B5090">
        <w:rPr>
          <w:rFonts w:eastAsiaTheme="minorEastAsia"/>
        </w:rPr>
        <w:t>; resulting from Step 7</w:t>
      </w:r>
      <w:r>
        <w:rPr>
          <w:rFonts w:eastAsiaTheme="minorEastAsia"/>
        </w:rPr>
        <w:t>) is shown in black. By applying the final Bea24 model to these residuals, the within</w:t>
      </w:r>
      <w:r w:rsidR="008B5090">
        <w:rPr>
          <w:rFonts w:eastAsiaTheme="minorEastAsia"/>
        </w:rPr>
        <w:t>-</w:t>
      </w:r>
      <w:r>
        <w:rPr>
          <w:rFonts w:eastAsiaTheme="minorEastAsia"/>
        </w:rPr>
        <w:t>event</w:t>
      </w:r>
      <w:r w:rsidR="008B5090">
        <w:rPr>
          <w:rFonts w:eastAsiaTheme="minorEastAsia"/>
        </w:rPr>
        <w:t xml:space="preserve"> residual</w:t>
      </w:r>
      <w:r>
        <w:rPr>
          <w:rFonts w:eastAsiaTheme="minorEastAsia"/>
        </w:rPr>
        <w:t xml:space="preserve"> </w:t>
      </w:r>
      <w:r w:rsidR="008B5090">
        <w:rPr>
          <w:rFonts w:eastAsiaTheme="minorEastAsia"/>
        </w:rPr>
        <w:t>standard deviation</w:t>
      </w:r>
      <w:r>
        <w:rPr>
          <w:rFonts w:eastAsiaTheme="minorEastAsia"/>
        </w:rPr>
        <w:t xml:space="preserve"> reduces from 0.53 to 0.39 natural log units. As described in the above approach outline, Step 2 is repeated for each event and spectral period.</w:t>
      </w:r>
    </w:p>
    <w:p w14:paraId="01041810" w14:textId="77777777" w:rsidR="00D74BB7" w:rsidRPr="00CF72D4" w:rsidRDefault="00D74BB7" w:rsidP="00D74BB7">
      <w:pPr>
        <w:spacing w:after="0"/>
        <w:jc w:val="left"/>
      </w:pPr>
    </w:p>
    <w:p w14:paraId="0F0A8349" w14:textId="77777777" w:rsidR="00D74BB7" w:rsidRDefault="00D74BB7" w:rsidP="00A317A0">
      <w:pPr>
        <w:ind w:firstLine="0"/>
        <w:jc w:val="center"/>
      </w:pPr>
      <w:r>
        <w:rPr>
          <w:noProof/>
        </w:rPr>
        <w:drawing>
          <wp:inline distT="0" distB="0" distL="0" distR="0" wp14:anchorId="4523CC9A" wp14:editId="072229E3">
            <wp:extent cx="5669280" cy="2948204"/>
            <wp:effectExtent l="0" t="0" r="0" b="0"/>
            <wp:docPr id="16904686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68644" name="Picture 12"/>
                    <pic:cNvPicPr/>
                  </pic:nvPicPr>
                  <pic:blipFill>
                    <a:blip r:embed="rId17"/>
                    <a:srcRect t="218" b="218"/>
                    <a:stretch>
                      <a:fillRect/>
                    </a:stretch>
                  </pic:blipFill>
                  <pic:spPr bwMode="auto">
                    <a:xfrm>
                      <a:off x="0" y="0"/>
                      <a:ext cx="5669280" cy="2948204"/>
                    </a:xfrm>
                    <a:prstGeom prst="rect">
                      <a:avLst/>
                    </a:prstGeom>
                    <a:ln>
                      <a:noFill/>
                    </a:ln>
                    <a:extLst>
                      <a:ext uri="{53640926-AAD7-44D8-BBD7-CCE9431645EC}">
                        <a14:shadowObscured xmlns:a14="http://schemas.microsoft.com/office/drawing/2010/main"/>
                      </a:ext>
                    </a:extLst>
                  </pic:spPr>
                </pic:pic>
              </a:graphicData>
            </a:graphic>
          </wp:inline>
        </w:drawing>
      </w:r>
    </w:p>
    <w:p w14:paraId="215B42F1" w14:textId="15E1E8D9" w:rsidR="00D74BB7" w:rsidRDefault="00D74BB7" w:rsidP="00D74BB7">
      <w:pPr>
        <w:pStyle w:val="Caption"/>
      </w:pPr>
      <w:r w:rsidRPr="00006FF4">
        <w:rPr>
          <w:b/>
          <w:bCs/>
        </w:rPr>
        <w:t xml:space="preserve">Figure </w:t>
      </w:r>
      <w:r w:rsidR="00935168" w:rsidRPr="00006FF4">
        <w:rPr>
          <w:b/>
          <w:bCs/>
        </w:rPr>
        <w:t>D</w:t>
      </w:r>
      <w:r w:rsidR="00006FF4" w:rsidRPr="00006FF4">
        <w:rPr>
          <w:b/>
          <w:bCs/>
        </w:rPr>
        <w:t>1</w:t>
      </w:r>
      <w:r w:rsidRPr="00006FF4">
        <w:rPr>
          <w:b/>
          <w:bCs/>
        </w:rPr>
        <w:t xml:space="preserve">. </w:t>
      </w:r>
      <w:r>
        <w:t xml:space="preserve">Summary of Step 2 for the Landers earthquake simulation, at T=6.5 sec. </w:t>
      </w:r>
    </w:p>
    <w:p w14:paraId="14940EDA" w14:textId="77777777" w:rsidR="00D74BB7" w:rsidRDefault="00D74BB7" w:rsidP="00081E70">
      <w:pPr>
        <w:spacing w:after="0"/>
        <w:jc w:val="left"/>
      </w:pPr>
    </w:p>
    <w:p w14:paraId="60BCB53C" w14:textId="5332A350" w:rsidR="00B22CCF" w:rsidRDefault="00D74BB7" w:rsidP="00081E70">
      <w:pPr>
        <w:spacing w:after="0"/>
        <w:jc w:val="left"/>
        <w:rPr>
          <w:rFonts w:eastAsiaTheme="minorEastAsia"/>
        </w:rPr>
      </w:pPr>
      <w:r>
        <w:t xml:space="preserve">Figure </w:t>
      </w:r>
      <w:r w:rsidR="00935168">
        <w:t>D</w:t>
      </w:r>
      <w:r>
        <w:t xml:space="preserve">2 summarizes the results of Step 3 for the simulated database, where each line color or marker represents one of the 8 simulated events. Figure </w:t>
      </w:r>
      <w:r w:rsidR="00935168">
        <w:t>D</w:t>
      </w:r>
      <w:r>
        <w:t xml:space="preserve">3 (upper panel) shows Step </w:t>
      </w:r>
      <w:r w:rsidR="00F06EDB">
        <w:t>4</w:t>
      </w:r>
      <w:r>
        <w:t xml:space="preserve">, and the lower panel shows Step </w:t>
      </w:r>
      <w:r w:rsidR="00F06EDB">
        <w:t>5</w:t>
      </w:r>
      <w:r>
        <w:t xml:space="preserve">. </w:t>
      </w:r>
      <w:r>
        <w:rPr>
          <w:rFonts w:eastAsiaTheme="minorEastAsia"/>
        </w:rPr>
        <w:t xml:space="preserve">The standard deviation (width parameter) of the Gaussian function is </w:t>
      </w:r>
      <m:oMath>
        <m:sSub>
          <m:sSubPr>
            <m:ctrlPr>
              <w:rPr>
                <w:rFonts w:ascii="Cambria Math" w:hAnsi="Cambria Math"/>
                <w:i/>
              </w:rPr>
            </m:ctrlPr>
          </m:sSubPr>
          <m:e>
            <m:r>
              <w:rPr>
                <w:rFonts w:ascii="Cambria Math" w:hAnsi="Cambria Math"/>
              </w:rPr>
              <m:t>σ</m:t>
            </m:r>
          </m:e>
          <m:sub>
            <m:r>
              <w:rPr>
                <w:rFonts w:ascii="Cambria Math" w:hAnsi="Cambria Math"/>
              </w:rPr>
              <m:t>g</m:t>
            </m:r>
          </m:sub>
        </m:sSub>
        <m:r>
          <w:rPr>
            <w:rFonts w:ascii="Cambria Math" w:hAnsi="Cambria Math"/>
          </w:rPr>
          <m:t>=</m:t>
        </m:r>
      </m:oMath>
      <w:r>
        <w:rPr>
          <w:rFonts w:eastAsiaTheme="minorEastAsia"/>
        </w:rPr>
        <w:t xml:space="preserve"> 0.38.</w:t>
      </w:r>
    </w:p>
    <w:p w14:paraId="1445E560" w14:textId="7DEB79EC" w:rsidR="00D74BB7" w:rsidRDefault="00D74BB7" w:rsidP="00D74BB7">
      <w:pPr>
        <w:spacing w:after="0"/>
        <w:jc w:val="left"/>
      </w:pPr>
      <w:r>
        <w:rPr>
          <w:rFonts w:eastAsiaTheme="minorEastAsia"/>
        </w:rPr>
        <w:t xml:space="preserve">Figure </w:t>
      </w:r>
      <w:r w:rsidR="00935168">
        <w:rPr>
          <w:rFonts w:eastAsiaTheme="minorEastAsia"/>
        </w:rPr>
        <w:t>D</w:t>
      </w:r>
      <w:r>
        <w:rPr>
          <w:rFonts w:eastAsiaTheme="minorEastAsia"/>
        </w:rPr>
        <w:t>4 shows within-event residuals (</w:t>
      </w:r>
      <m:oMath>
        <m:r>
          <w:rPr>
            <w:rFonts w:ascii="Cambria Math" w:eastAsiaTheme="minorEastAsia" w:hAnsi="Cambria Math"/>
          </w:rPr>
          <m:t>δW</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es</m:t>
            </m:r>
          </m:sub>
        </m:sSub>
      </m:oMath>
      <w:r>
        <w:rPr>
          <w:rFonts w:eastAsiaTheme="minorEastAsia"/>
        </w:rPr>
        <w:t xml:space="preserve">) versus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at period </w:t>
      </w:r>
      <m:oMath>
        <m:sSub>
          <m:sSubPr>
            <m:ctrlPr>
              <w:rPr>
                <w:rFonts w:ascii="Cambria Math" w:hAnsi="Cambria Math"/>
                <w:i/>
              </w:rPr>
            </m:ctrlPr>
          </m:sSubPr>
          <m:e>
            <m:r>
              <m:rPr>
                <m:nor/>
              </m:rPr>
              <w:rPr>
                <w:rFonts w:cstheme="minorHAnsi"/>
              </w:rPr>
              <m:t>T</m:t>
            </m:r>
          </m:e>
          <m:sub>
            <m:r>
              <w:rPr>
                <w:rFonts w:ascii="Cambria Math" w:hAnsi="Cambria Math"/>
              </w:rPr>
              <m:t>peak</m:t>
            </m:r>
          </m:sub>
        </m:sSub>
      </m:oMath>
      <w:r>
        <w:rPr>
          <w:rFonts w:eastAsiaTheme="minorEastAsia"/>
        </w:rPr>
        <w:t xml:space="preserve"> (this period varies by event) from complete set of the simulations. Binned means with 95% confidence interval for small intervals of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are shown in red. The Bea24 median model </w:t>
      </w:r>
      <w:r w:rsidR="00F06EDB">
        <w:rPr>
          <w:rFonts w:eastAsiaTheme="minorEastAsia"/>
        </w:rPr>
        <w:t xml:space="preserve">(result of Step 6) </w:t>
      </w:r>
      <w:r>
        <w:rPr>
          <w:rFonts w:eastAsiaTheme="minorEastAsia"/>
        </w:rPr>
        <w:lastRenderedPageBreak/>
        <w:t xml:space="preserve">is shown in black, with the value of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Pr>
          <w:rFonts w:eastAsiaTheme="minorEastAsia"/>
        </w:rPr>
        <w:t xml:space="preserve"> determined from the regression. Use of the logistic function saturates</w:t>
      </w:r>
      <w:r w:rsidRPr="00D74BB7">
        <w:rPr>
          <w:rFonts w:eastAsiaTheme="minorEastAsia"/>
        </w:rPr>
        <w:t xml:space="preserve">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Pr>
          <w:rFonts w:eastAsiaTheme="minorEastAsia"/>
        </w:rPr>
        <w:t xml:space="preserve"> for extreme values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G</m:t>
            </m:r>
          </m:sub>
        </m:sSub>
        <m:r>
          <w:rPr>
            <w:rFonts w:ascii="Cambria Math" w:hAnsi="Cambria Math" w:cs="Arial"/>
          </w:rPr>
          <m:t>'</m:t>
        </m:r>
      </m:oMath>
      <w:r>
        <w:rPr>
          <w:rFonts w:eastAsiaTheme="minorEastAsia"/>
        </w:rPr>
        <w:t>; this causes the flattening of the black curve.</w:t>
      </w:r>
      <w:r w:rsidRPr="00D74BB7">
        <w:rPr>
          <w:rFonts w:eastAsiaTheme="minorEastAsia"/>
        </w:rPr>
        <w:t xml:space="preserve"> </w:t>
      </w:r>
    </w:p>
    <w:p w14:paraId="5A66D1EA" w14:textId="77777777" w:rsidR="00D74BB7" w:rsidRDefault="00D74BB7" w:rsidP="00081E70">
      <w:pPr>
        <w:spacing w:after="0"/>
        <w:jc w:val="left"/>
      </w:pPr>
    </w:p>
    <w:p w14:paraId="07861E55" w14:textId="5D5A3398" w:rsidR="00D74BB7" w:rsidRDefault="00D74BB7" w:rsidP="00A317A0">
      <w:pPr>
        <w:ind w:firstLine="0"/>
        <w:jc w:val="center"/>
      </w:pPr>
      <w:r>
        <w:rPr>
          <w:noProof/>
        </w:rPr>
        <w:drawing>
          <wp:inline distT="0" distB="0" distL="0" distR="0" wp14:anchorId="687A34B8" wp14:editId="0C31F118">
            <wp:extent cx="5086328" cy="2786763"/>
            <wp:effectExtent l="0" t="0" r="0" b="0"/>
            <wp:docPr id="1732043406" name="Picture 1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3406" name="Picture 12" descr="A collage of graphs&#10;&#10;Description automatically generated"/>
                    <pic:cNvPicPr/>
                  </pic:nvPicPr>
                  <pic:blipFill rotWithShape="1">
                    <a:blip r:embed="rId18"/>
                    <a:srcRect r="49167" b="50022"/>
                    <a:stretch/>
                  </pic:blipFill>
                  <pic:spPr bwMode="auto">
                    <a:xfrm>
                      <a:off x="0" y="0"/>
                      <a:ext cx="5116701" cy="2803404"/>
                    </a:xfrm>
                    <a:prstGeom prst="rect">
                      <a:avLst/>
                    </a:prstGeom>
                    <a:ln>
                      <a:noFill/>
                    </a:ln>
                    <a:extLst>
                      <a:ext uri="{53640926-AAD7-44D8-BBD7-CCE9431645EC}">
                        <a14:shadowObscured xmlns:a14="http://schemas.microsoft.com/office/drawing/2010/main"/>
                      </a:ext>
                    </a:extLst>
                  </pic:spPr>
                </pic:pic>
              </a:graphicData>
            </a:graphic>
          </wp:inline>
        </w:drawing>
      </w:r>
    </w:p>
    <w:p w14:paraId="0AB72366" w14:textId="2ED5AC44" w:rsidR="00D74BB7" w:rsidRDefault="00D74BB7" w:rsidP="00A317A0">
      <w:pPr>
        <w:ind w:firstLine="0"/>
        <w:jc w:val="center"/>
      </w:pPr>
      <w:r>
        <w:rPr>
          <w:noProof/>
        </w:rPr>
        <w:drawing>
          <wp:inline distT="0" distB="0" distL="0" distR="0" wp14:anchorId="563E669F" wp14:editId="1F5847AA">
            <wp:extent cx="5178312" cy="2822149"/>
            <wp:effectExtent l="0" t="0" r="0" b="0"/>
            <wp:docPr id="1516159447" name="Picture 1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3406" name="Picture 12" descr="A collage of graphs&#10;&#10;Description automatically generated"/>
                    <pic:cNvPicPr/>
                  </pic:nvPicPr>
                  <pic:blipFill rotWithShape="1">
                    <a:blip r:embed="rId18"/>
                    <a:srcRect l="51223" r="-1969" b="50372"/>
                    <a:stretch/>
                  </pic:blipFill>
                  <pic:spPr bwMode="auto">
                    <a:xfrm>
                      <a:off x="0" y="0"/>
                      <a:ext cx="5184540" cy="2825543"/>
                    </a:xfrm>
                    <a:prstGeom prst="rect">
                      <a:avLst/>
                    </a:prstGeom>
                    <a:ln>
                      <a:noFill/>
                    </a:ln>
                    <a:extLst>
                      <a:ext uri="{53640926-AAD7-44D8-BBD7-CCE9431645EC}">
                        <a14:shadowObscured xmlns:a14="http://schemas.microsoft.com/office/drawing/2010/main"/>
                      </a:ext>
                    </a:extLst>
                  </pic:spPr>
                </pic:pic>
              </a:graphicData>
            </a:graphic>
          </wp:inline>
        </w:drawing>
      </w:r>
    </w:p>
    <w:p w14:paraId="3F46498B" w14:textId="7777847C" w:rsidR="00D74BB7" w:rsidRDefault="00D74BB7" w:rsidP="00D74BB7">
      <w:pPr>
        <w:pStyle w:val="Caption"/>
      </w:pPr>
      <w:r w:rsidRPr="00006FF4">
        <w:rPr>
          <w:b/>
          <w:bCs/>
        </w:rPr>
        <w:t xml:space="preserve">Figure </w:t>
      </w:r>
      <w:r w:rsidR="00935168" w:rsidRPr="00006FF4">
        <w:rPr>
          <w:b/>
          <w:bCs/>
        </w:rPr>
        <w:t>D2</w:t>
      </w:r>
      <w:r>
        <w:t xml:space="preserve">. Summary of Step 3 for the simulated dataset. </w:t>
      </w:r>
    </w:p>
    <w:p w14:paraId="03E70C46" w14:textId="1321BE84" w:rsidR="00D74BB7" w:rsidRDefault="00D74BB7" w:rsidP="00A317A0">
      <w:pPr>
        <w:ind w:firstLine="0"/>
        <w:jc w:val="center"/>
      </w:pPr>
      <w:r>
        <w:rPr>
          <w:noProof/>
        </w:rPr>
        <w:lastRenderedPageBreak/>
        <w:drawing>
          <wp:inline distT="0" distB="0" distL="0" distR="0" wp14:anchorId="1096834E" wp14:editId="79380765">
            <wp:extent cx="5254906" cy="2870200"/>
            <wp:effectExtent l="0" t="0" r="0" b="0"/>
            <wp:docPr id="1960993281" name="Picture 1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3406" name="Picture 12" descr="A collage of graphs&#10;&#10;Description automatically generated"/>
                    <pic:cNvPicPr/>
                  </pic:nvPicPr>
                  <pic:blipFill rotWithShape="1">
                    <a:blip r:embed="rId18"/>
                    <a:srcRect l="50218" t="48633" r="-852" b="1739"/>
                    <a:stretch/>
                  </pic:blipFill>
                  <pic:spPr bwMode="auto">
                    <a:xfrm>
                      <a:off x="0" y="0"/>
                      <a:ext cx="5278579" cy="2883130"/>
                    </a:xfrm>
                    <a:prstGeom prst="rect">
                      <a:avLst/>
                    </a:prstGeom>
                    <a:ln>
                      <a:noFill/>
                    </a:ln>
                    <a:extLst>
                      <a:ext uri="{53640926-AAD7-44D8-BBD7-CCE9431645EC}">
                        <a14:shadowObscured xmlns:a14="http://schemas.microsoft.com/office/drawing/2010/main"/>
                      </a:ext>
                    </a:extLst>
                  </pic:spPr>
                </pic:pic>
              </a:graphicData>
            </a:graphic>
          </wp:inline>
        </w:drawing>
      </w:r>
    </w:p>
    <w:p w14:paraId="623F967B" w14:textId="7580B981" w:rsidR="00D74BB7" w:rsidRDefault="00D74BB7" w:rsidP="00A317A0">
      <w:pPr>
        <w:ind w:firstLine="0"/>
        <w:jc w:val="center"/>
      </w:pPr>
      <w:r>
        <w:rPr>
          <w:noProof/>
        </w:rPr>
        <w:drawing>
          <wp:inline distT="0" distB="0" distL="0" distR="0" wp14:anchorId="665987F7" wp14:editId="46B85212">
            <wp:extent cx="5153660" cy="2916193"/>
            <wp:effectExtent l="0" t="0" r="2540" b="5080"/>
            <wp:docPr id="457314411" name="Picture 1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3406" name="Picture 12" descr="A collage of graphs&#10;&#10;Description automatically generated"/>
                    <pic:cNvPicPr/>
                  </pic:nvPicPr>
                  <pic:blipFill rotWithShape="1">
                    <a:blip r:embed="rId18"/>
                    <a:srcRect l="31" t="49566" r="50300"/>
                    <a:stretch/>
                  </pic:blipFill>
                  <pic:spPr bwMode="auto">
                    <a:xfrm>
                      <a:off x="0" y="0"/>
                      <a:ext cx="5177987" cy="2929958"/>
                    </a:xfrm>
                    <a:prstGeom prst="rect">
                      <a:avLst/>
                    </a:prstGeom>
                    <a:ln>
                      <a:noFill/>
                    </a:ln>
                    <a:extLst>
                      <a:ext uri="{53640926-AAD7-44D8-BBD7-CCE9431645EC}">
                        <a14:shadowObscured xmlns:a14="http://schemas.microsoft.com/office/drawing/2010/main"/>
                      </a:ext>
                    </a:extLst>
                  </pic:spPr>
                </pic:pic>
              </a:graphicData>
            </a:graphic>
          </wp:inline>
        </w:drawing>
      </w:r>
    </w:p>
    <w:p w14:paraId="3C7CD390" w14:textId="453C7C04" w:rsidR="00D74BB7" w:rsidRDefault="00D74BB7" w:rsidP="00D74BB7">
      <w:pPr>
        <w:pStyle w:val="Caption"/>
      </w:pPr>
      <w:r w:rsidRPr="00006FF4">
        <w:rPr>
          <w:b/>
          <w:bCs/>
        </w:rPr>
        <w:t xml:space="preserve">Figure </w:t>
      </w:r>
      <w:r w:rsidR="00935168" w:rsidRPr="00006FF4">
        <w:rPr>
          <w:b/>
          <w:bCs/>
        </w:rPr>
        <w:t>D3</w:t>
      </w:r>
      <w:r w:rsidRPr="00006FF4">
        <w:rPr>
          <w:b/>
          <w:bCs/>
        </w:rPr>
        <w:t>.</w:t>
      </w:r>
      <w:r>
        <w:t xml:space="preserve"> Summary of Steps </w:t>
      </w:r>
      <w:r w:rsidR="00F06EDB">
        <w:t>4-5</w:t>
      </w:r>
      <w:r>
        <w:t xml:space="preserve"> for the simulated dataset. </w:t>
      </w:r>
      <w:r w:rsidR="00F206AB">
        <w:t>The colored lines in the bottom panel correspond to the legend in Figure D2.</w:t>
      </w:r>
    </w:p>
    <w:p w14:paraId="677AE3EF" w14:textId="77777777" w:rsidR="00D74BB7" w:rsidRDefault="00D74BB7">
      <w:pPr>
        <w:spacing w:after="0"/>
        <w:jc w:val="left"/>
        <w:rPr>
          <w:rFonts w:eastAsiaTheme="minorEastAsia"/>
        </w:rPr>
      </w:pPr>
      <w:r>
        <w:rPr>
          <w:rFonts w:eastAsiaTheme="minorEastAsia"/>
        </w:rPr>
        <w:br w:type="page"/>
      </w:r>
    </w:p>
    <w:p w14:paraId="2C71BAD8" w14:textId="77777777" w:rsidR="00D74BB7" w:rsidRDefault="00D74BB7" w:rsidP="00081E70">
      <w:pPr>
        <w:spacing w:after="0"/>
        <w:jc w:val="left"/>
      </w:pPr>
    </w:p>
    <w:p w14:paraId="0D91B808" w14:textId="37B56481" w:rsidR="00D74BB7" w:rsidRDefault="00D74BB7" w:rsidP="00A317A0">
      <w:pPr>
        <w:ind w:firstLine="0"/>
        <w:jc w:val="center"/>
      </w:pPr>
      <w:r>
        <w:rPr>
          <w:noProof/>
        </w:rPr>
        <w:drawing>
          <wp:inline distT="0" distB="0" distL="0" distR="0" wp14:anchorId="44DD760A" wp14:editId="3A758B47">
            <wp:extent cx="5760720" cy="2925288"/>
            <wp:effectExtent l="0" t="0" r="5080" b="0"/>
            <wp:docPr id="1724719342" name="Picture 13"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19342" name="Picture 13" descr="A graph showing a graph of a graph&#10;&#10;Description automatically generated with medium confidence"/>
                    <pic:cNvPicPr/>
                  </pic:nvPicPr>
                  <pic:blipFill>
                    <a:blip r:embed="rId19"/>
                    <a:stretch>
                      <a:fillRect/>
                    </a:stretch>
                  </pic:blipFill>
                  <pic:spPr>
                    <a:xfrm>
                      <a:off x="0" y="0"/>
                      <a:ext cx="5760720" cy="2925288"/>
                    </a:xfrm>
                    <a:prstGeom prst="rect">
                      <a:avLst/>
                    </a:prstGeom>
                  </pic:spPr>
                </pic:pic>
              </a:graphicData>
            </a:graphic>
          </wp:inline>
        </w:drawing>
      </w:r>
    </w:p>
    <w:p w14:paraId="00F494F3" w14:textId="125ACBB2" w:rsidR="00B22CCF" w:rsidRDefault="00D74BB7" w:rsidP="00D74BB7">
      <w:pPr>
        <w:pStyle w:val="Caption"/>
      </w:pPr>
      <w:r w:rsidRPr="00006FF4">
        <w:rPr>
          <w:b/>
          <w:bCs/>
        </w:rPr>
        <w:t xml:space="preserve">Figure </w:t>
      </w:r>
      <w:r w:rsidR="00935168" w:rsidRPr="00006FF4">
        <w:rPr>
          <w:b/>
          <w:bCs/>
        </w:rPr>
        <w:t>D4</w:t>
      </w:r>
      <w:r w:rsidRPr="00006FF4">
        <w:rPr>
          <w:b/>
          <w:bCs/>
        </w:rPr>
        <w:t>.</w:t>
      </w:r>
      <w:r>
        <w:t xml:space="preserve"> Within-event residuals (</w:t>
      </w:r>
      <m:oMath>
        <m:r>
          <w:rPr>
            <w:rFonts w:ascii="Cambria Math" w:eastAsiaTheme="minorEastAsia" w:hAnsi="Cambria Math"/>
          </w:rPr>
          <m:t>δW</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es</m:t>
            </m:r>
          </m:sub>
        </m:sSub>
      </m:oMath>
      <w:r>
        <w:rPr>
          <w:rFonts w:eastAsiaTheme="minorEastAsia"/>
        </w:rPr>
        <w:t xml:space="preserve">) versus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at period </w:t>
      </w:r>
      <m:oMath>
        <m:sSub>
          <m:sSubPr>
            <m:ctrlPr>
              <w:rPr>
                <w:rFonts w:ascii="Cambria Math" w:hAnsi="Cambria Math"/>
                <w:i/>
              </w:rPr>
            </m:ctrlPr>
          </m:sSubPr>
          <m:e>
            <m:r>
              <m:rPr>
                <m:nor/>
              </m:rPr>
              <w:rPr>
                <w:rFonts w:cstheme="minorHAnsi"/>
              </w:rPr>
              <m:t>T</m:t>
            </m:r>
          </m:e>
          <m:sub>
            <m:r>
              <w:rPr>
                <w:rFonts w:ascii="Cambria Math" w:hAnsi="Cambria Math"/>
              </w:rPr>
              <m:t>peak</m:t>
            </m:r>
          </m:sub>
        </m:sSub>
      </m:oMath>
      <w:r>
        <w:rPr>
          <w:rFonts w:eastAsiaTheme="minorEastAsia"/>
        </w:rPr>
        <w:t xml:space="preserve"> (this period varies by event) from the simulations. Binned means with 95% confidence interval for small intervals of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are shown in red. The Bea24 median model </w:t>
      </w:r>
      <w:r w:rsidR="008B5090">
        <w:rPr>
          <w:rFonts w:eastAsiaTheme="minorEastAsia"/>
        </w:rPr>
        <w:t xml:space="preserve">from the simulations (Model 1) </w:t>
      </w:r>
      <w:r>
        <w:rPr>
          <w:rFonts w:eastAsiaTheme="minorEastAsia"/>
        </w:rPr>
        <w:t>is shown in black</w:t>
      </w:r>
      <w:r>
        <w:t xml:space="preserve">. </w:t>
      </w:r>
    </w:p>
    <w:p w14:paraId="6CBBA4D1" w14:textId="62A2DFC0" w:rsidR="00B22CCF" w:rsidRPr="00D3677F" w:rsidRDefault="00B22CCF" w:rsidP="00D3677F">
      <w:pPr>
        <w:ind w:firstLine="0"/>
        <w:rPr>
          <w:b/>
          <w:bCs/>
        </w:rPr>
      </w:pPr>
      <w:r w:rsidRPr="00D3677F">
        <w:rPr>
          <w:b/>
          <w:bCs/>
        </w:rPr>
        <w:t>NGA-W2</w:t>
      </w:r>
    </w:p>
    <w:p w14:paraId="7F90FC32" w14:textId="67A07433" w:rsidR="00D74BB7" w:rsidRDefault="008B5090" w:rsidP="008B5090">
      <w:pPr>
        <w:rPr>
          <w:rFonts w:eastAsiaTheme="minorEastAsia"/>
        </w:rPr>
      </w:pPr>
      <w:r>
        <w:t xml:space="preserve">Figure </w:t>
      </w:r>
      <w:r w:rsidR="00935168">
        <w:t>D</w:t>
      </w:r>
      <w:r>
        <w:t xml:space="preserve">5 summarizes </w:t>
      </w:r>
      <w:r w:rsidR="00F06EDB">
        <w:t>S</w:t>
      </w:r>
      <w:r>
        <w:t>teps 3-</w:t>
      </w:r>
      <w:r w:rsidR="00F06EDB">
        <w:t>5</w:t>
      </w:r>
      <w:r>
        <w:t xml:space="preserve"> as applied to the NGA-W2 data. Figure </w:t>
      </w:r>
      <w:r w:rsidR="00935168">
        <w:t>D</w:t>
      </w:r>
      <w:r>
        <w:t xml:space="preserve">6 </w:t>
      </w:r>
      <w:r>
        <w:rPr>
          <w:rFonts w:eastAsiaTheme="minorEastAsia"/>
        </w:rPr>
        <w:t>shows within-event residuals (</w:t>
      </w:r>
      <m:oMath>
        <m:r>
          <w:rPr>
            <w:rFonts w:ascii="Cambria Math" w:eastAsiaTheme="minorEastAsia" w:hAnsi="Cambria Math"/>
          </w:rPr>
          <m:t>δW</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es</m:t>
            </m:r>
          </m:sub>
        </m:sSub>
      </m:oMath>
      <w:r>
        <w:rPr>
          <w:rFonts w:eastAsiaTheme="minorEastAsia"/>
        </w:rPr>
        <w:t xml:space="preserve">) versus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at period </w:t>
      </w:r>
      <m:oMath>
        <m:sSub>
          <m:sSubPr>
            <m:ctrlPr>
              <w:rPr>
                <w:rFonts w:ascii="Cambria Math" w:hAnsi="Cambria Math"/>
                <w:i/>
              </w:rPr>
            </m:ctrlPr>
          </m:sSubPr>
          <m:e>
            <m:r>
              <m:rPr>
                <m:nor/>
              </m:rPr>
              <w:rPr>
                <w:rFonts w:cstheme="minorHAnsi"/>
              </w:rPr>
              <m:t>T</m:t>
            </m:r>
          </m:e>
          <m:sub>
            <m:r>
              <w:rPr>
                <w:rFonts w:ascii="Cambria Math" w:hAnsi="Cambria Math"/>
              </w:rPr>
              <m:t>peak</m:t>
            </m:r>
          </m:sub>
        </m:sSub>
      </m:oMath>
      <w:r>
        <w:rPr>
          <w:rFonts w:eastAsiaTheme="minorEastAsia"/>
        </w:rPr>
        <w:t xml:space="preserve"> (this period varies by event) from the recorded data. Binned means with 95% confidence interval for small intervals of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are shown in red. The Bea24 median model from the recorded data (Model 2</w:t>
      </w:r>
      <w:r w:rsidR="00F06EDB">
        <w:rPr>
          <w:rFonts w:eastAsiaTheme="minorEastAsia"/>
        </w:rPr>
        <w:t>; result of Step 5</w:t>
      </w:r>
      <w:r>
        <w:rPr>
          <w:rFonts w:eastAsiaTheme="minorEastAsia"/>
        </w:rPr>
        <w:t>) is shown in the solid black, and the model from simulations (Model 1) is given by the dashed line.</w:t>
      </w:r>
    </w:p>
    <w:p w14:paraId="3F02A6C3" w14:textId="77777777" w:rsidR="00F06EDB" w:rsidRPr="00D3677F" w:rsidRDefault="00F06EDB" w:rsidP="00D3677F">
      <w:pPr>
        <w:ind w:firstLine="0"/>
        <w:rPr>
          <w:b/>
          <w:bCs/>
        </w:rPr>
      </w:pPr>
      <w:r w:rsidRPr="00D3677F">
        <w:rPr>
          <w:b/>
          <w:bCs/>
        </w:rPr>
        <w:t>Simulated and Recorded events</w:t>
      </w:r>
    </w:p>
    <w:p w14:paraId="63C4659F" w14:textId="3230A0C1" w:rsidR="00F06EDB" w:rsidRDefault="00F06EDB" w:rsidP="00F06EDB">
      <w:r>
        <w:t xml:space="preserve">Figure </w:t>
      </w:r>
      <w:r w:rsidR="00935168">
        <w:t>D</w:t>
      </w:r>
      <w:r>
        <w:t xml:space="preserve">7 summarizes the model approach for the combined dataset, where simulations are in grey and recorded events are in blue. Panel a </w:t>
      </w:r>
      <w:proofErr w:type="gramStart"/>
      <w:r>
        <w:t>shows</w:t>
      </w:r>
      <w:proofErr w:type="gramEnd"/>
      <w:r>
        <w:t xml:space="preserve"> the period dependence of </w:t>
      </w:r>
      <m:oMath>
        <m:r>
          <w:rPr>
            <w:rFonts w:ascii="Cambria Math" w:hAnsi="Cambria Math"/>
          </w:rPr>
          <m:t>A</m:t>
        </m:r>
      </m:oMath>
      <w:r>
        <w:t xml:space="preserve"> (Step 3), panel b shows the </w:t>
      </w:r>
      <w:r>
        <w:rPr>
          <w:rFonts w:eastAsiaTheme="minorEastAsia"/>
        </w:rPr>
        <w:t xml:space="preserve">Gaussian function of period used to model </w:t>
      </w:r>
      <m:oMath>
        <m:r>
          <w:rPr>
            <w:rFonts w:ascii="Cambria Math" w:hAnsi="Cambria Math"/>
          </w:rPr>
          <m:t>A</m:t>
        </m:r>
      </m:oMath>
      <w:r>
        <w:rPr>
          <w:rFonts w:eastAsiaTheme="minorEastAsia"/>
        </w:rPr>
        <w:t xml:space="preserve"> (Step 5), panel c shows the evaluation for magnitude dependence of </w:t>
      </w:r>
      <m:oMath>
        <m:sSub>
          <m:sSubPr>
            <m:ctrlPr>
              <w:rPr>
                <w:rFonts w:ascii="Cambria Math" w:hAnsi="Cambria Math"/>
                <w:i/>
              </w:rPr>
            </m:ctrlPr>
          </m:sSubPr>
          <m:e>
            <m:r>
              <w:rPr>
                <w:rFonts w:ascii="Cambria Math" w:hAnsi="Cambria Math"/>
              </w:rPr>
              <m:t>A</m:t>
            </m:r>
          </m:e>
          <m:sub>
            <m:r>
              <w:rPr>
                <w:rFonts w:ascii="Cambria Math" w:hAnsi="Cambria Math"/>
              </w:rPr>
              <m:t>max</m:t>
            </m:r>
          </m:sub>
        </m:sSub>
      </m:oMath>
      <w:r>
        <w:rPr>
          <w:rFonts w:eastAsiaTheme="minorEastAsia"/>
        </w:rPr>
        <w:t xml:space="preserve"> (Step 3), and panel d shows the magnitude dependence of </w:t>
      </w:r>
      <m:oMath>
        <m:sSub>
          <m:sSubPr>
            <m:ctrlPr>
              <w:rPr>
                <w:rFonts w:ascii="Cambria Math" w:hAnsi="Cambria Math" w:cstheme="minorHAnsi"/>
                <w:iCs/>
              </w:rPr>
            </m:ctrlPr>
          </m:sSubPr>
          <m:e>
            <m:r>
              <m:rPr>
                <m:nor/>
              </m:rPr>
              <w:rPr>
                <w:rFonts w:asciiTheme="majorHAnsi" w:hAnsiTheme="majorHAnsi" w:cstheme="majorHAnsi"/>
              </w:rPr>
              <m:t>T</m:t>
            </m:r>
          </m:e>
          <m:sub>
            <m:r>
              <m:rPr>
                <m:sty m:val="p"/>
              </m:rPr>
              <w:rPr>
                <w:rFonts w:ascii="Cambria Math" w:hAnsi="Cambria Math" w:cstheme="minorHAnsi"/>
              </w:rPr>
              <m:t>peak</m:t>
            </m:r>
          </m:sub>
        </m:sSub>
      </m:oMath>
      <w:r>
        <w:rPr>
          <w:rFonts w:eastAsiaTheme="minorEastAsia"/>
          <w:iCs/>
        </w:rPr>
        <w:t xml:space="preserve"> (Step 4). </w:t>
      </w:r>
    </w:p>
    <w:p w14:paraId="4EB9D983" w14:textId="77777777" w:rsidR="00F06EDB" w:rsidRDefault="00F06EDB" w:rsidP="008B5090">
      <w:pPr>
        <w:rPr>
          <w:rFonts w:eastAsiaTheme="minorEastAsia"/>
        </w:rPr>
      </w:pPr>
    </w:p>
    <w:p w14:paraId="705FCF9E" w14:textId="19824235" w:rsidR="00D74BB7" w:rsidRDefault="00D74BB7" w:rsidP="00A317A0">
      <w:pPr>
        <w:ind w:firstLine="0"/>
        <w:jc w:val="center"/>
      </w:pPr>
      <w:r>
        <w:rPr>
          <w:noProof/>
        </w:rPr>
        <w:lastRenderedPageBreak/>
        <w:drawing>
          <wp:inline distT="0" distB="0" distL="0" distR="0" wp14:anchorId="3532BD74" wp14:editId="647735FF">
            <wp:extent cx="5760720" cy="3210311"/>
            <wp:effectExtent l="0" t="0" r="5080" b="3175"/>
            <wp:docPr id="618072226" name="Picture 16"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72226" name="Picture 16" descr="A collage of graphs&#10;&#10;Description automatically generated"/>
                    <pic:cNvPicPr/>
                  </pic:nvPicPr>
                  <pic:blipFill>
                    <a:blip r:embed="rId20"/>
                    <a:stretch>
                      <a:fillRect/>
                    </a:stretch>
                  </pic:blipFill>
                  <pic:spPr>
                    <a:xfrm>
                      <a:off x="0" y="0"/>
                      <a:ext cx="5760720" cy="3210311"/>
                    </a:xfrm>
                    <a:prstGeom prst="rect">
                      <a:avLst/>
                    </a:prstGeom>
                  </pic:spPr>
                </pic:pic>
              </a:graphicData>
            </a:graphic>
          </wp:inline>
        </w:drawing>
      </w:r>
    </w:p>
    <w:p w14:paraId="26ACE4A6" w14:textId="730902B3" w:rsidR="00D74BB7" w:rsidRDefault="00D74BB7" w:rsidP="00D74BB7">
      <w:pPr>
        <w:pStyle w:val="Caption"/>
      </w:pPr>
      <w:r w:rsidRPr="00006FF4">
        <w:rPr>
          <w:b/>
          <w:bCs/>
        </w:rPr>
        <w:t xml:space="preserve">Figure </w:t>
      </w:r>
      <w:r w:rsidR="00935168" w:rsidRPr="00006FF4">
        <w:rPr>
          <w:b/>
          <w:bCs/>
        </w:rPr>
        <w:t>D5</w:t>
      </w:r>
      <w:r w:rsidRPr="00006FF4">
        <w:rPr>
          <w:b/>
          <w:bCs/>
        </w:rPr>
        <w:t>.</w:t>
      </w:r>
      <w:r>
        <w:t xml:space="preserve"> </w:t>
      </w:r>
      <w:r w:rsidR="008B5090">
        <w:t>Summary of Steps 3-</w:t>
      </w:r>
      <w:r w:rsidR="00F06EDB">
        <w:t>5</w:t>
      </w:r>
      <w:r w:rsidR="008B5090">
        <w:t xml:space="preserve"> for the recorded dataset</w:t>
      </w:r>
      <w:r>
        <w:t xml:space="preserve">. </w:t>
      </w:r>
    </w:p>
    <w:p w14:paraId="2D25CDC1" w14:textId="39FFAC0C" w:rsidR="00D74BB7" w:rsidRDefault="00D74BB7" w:rsidP="00A317A0">
      <w:pPr>
        <w:ind w:firstLine="0"/>
        <w:jc w:val="center"/>
      </w:pPr>
      <w:r>
        <w:rPr>
          <w:noProof/>
        </w:rPr>
        <w:drawing>
          <wp:inline distT="0" distB="0" distL="0" distR="0" wp14:anchorId="2078190F" wp14:editId="6084448E">
            <wp:extent cx="5760720" cy="2887921"/>
            <wp:effectExtent l="0" t="0" r="5080" b="0"/>
            <wp:docPr id="1251808084" name="Picture 15" descr="A graph with blu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08084" name="Picture 15" descr="A graph with blue and red dots&#10;&#10;Description automatically generated"/>
                    <pic:cNvPicPr/>
                  </pic:nvPicPr>
                  <pic:blipFill>
                    <a:blip r:embed="rId21"/>
                    <a:stretch>
                      <a:fillRect/>
                    </a:stretch>
                  </pic:blipFill>
                  <pic:spPr>
                    <a:xfrm>
                      <a:off x="0" y="0"/>
                      <a:ext cx="5760720" cy="2887921"/>
                    </a:xfrm>
                    <a:prstGeom prst="rect">
                      <a:avLst/>
                    </a:prstGeom>
                  </pic:spPr>
                </pic:pic>
              </a:graphicData>
            </a:graphic>
          </wp:inline>
        </w:drawing>
      </w:r>
    </w:p>
    <w:p w14:paraId="1E534373" w14:textId="7D00D7F2" w:rsidR="00D74BB7" w:rsidRDefault="00D74BB7" w:rsidP="00D74BB7">
      <w:pPr>
        <w:pStyle w:val="Caption"/>
      </w:pPr>
      <w:r w:rsidRPr="00006FF4">
        <w:rPr>
          <w:b/>
          <w:bCs/>
        </w:rPr>
        <w:t xml:space="preserve">Figure </w:t>
      </w:r>
      <w:r w:rsidR="00935168" w:rsidRPr="00006FF4">
        <w:rPr>
          <w:b/>
          <w:bCs/>
        </w:rPr>
        <w:t>D6</w:t>
      </w:r>
      <w:r w:rsidRPr="00006FF4">
        <w:rPr>
          <w:b/>
          <w:bCs/>
        </w:rPr>
        <w:t>.</w:t>
      </w:r>
      <w:r>
        <w:t xml:space="preserve"> </w:t>
      </w:r>
      <w:r w:rsidR="008B5090">
        <w:t>Within-event residuals (</w:t>
      </w:r>
      <m:oMath>
        <m:r>
          <w:rPr>
            <w:rFonts w:ascii="Cambria Math" w:eastAsiaTheme="minorEastAsia" w:hAnsi="Cambria Math"/>
          </w:rPr>
          <m:t>δW</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es</m:t>
            </m:r>
          </m:sub>
        </m:sSub>
      </m:oMath>
      <w:r w:rsidR="008B5090">
        <w:rPr>
          <w:rFonts w:eastAsiaTheme="minorEastAsia"/>
        </w:rPr>
        <w:t xml:space="preserve">) versus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sidR="008B5090">
        <w:rPr>
          <w:rFonts w:eastAsiaTheme="minorEastAsia"/>
        </w:rPr>
        <w:t xml:space="preserve"> at period </w:t>
      </w:r>
      <m:oMath>
        <m:sSub>
          <m:sSubPr>
            <m:ctrlPr>
              <w:rPr>
                <w:rFonts w:ascii="Cambria Math" w:hAnsi="Cambria Math"/>
                <w:i/>
              </w:rPr>
            </m:ctrlPr>
          </m:sSubPr>
          <m:e>
            <m:r>
              <m:rPr>
                <m:nor/>
              </m:rPr>
              <w:rPr>
                <w:rFonts w:cstheme="minorHAnsi"/>
              </w:rPr>
              <m:t>T</m:t>
            </m:r>
          </m:e>
          <m:sub>
            <m:r>
              <w:rPr>
                <w:rFonts w:ascii="Cambria Math" w:hAnsi="Cambria Math"/>
              </w:rPr>
              <m:t>peak</m:t>
            </m:r>
          </m:sub>
        </m:sSub>
      </m:oMath>
      <w:r w:rsidR="008B5090">
        <w:rPr>
          <w:rFonts w:eastAsiaTheme="minorEastAsia"/>
        </w:rPr>
        <w:t xml:space="preserve"> (this period varies by event) from the recorded dataset. Binned means with 95% confidence interval for small intervals of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sidR="008B5090">
        <w:rPr>
          <w:rFonts w:eastAsiaTheme="minorEastAsia"/>
        </w:rPr>
        <w:t xml:space="preserve"> are shown in red. The Bea24 median model from the recorded data (Model 2) is shown in the solid black, and the model from simulations (Model 1) is given by the dashed line</w:t>
      </w:r>
      <w:r>
        <w:t xml:space="preserve">. </w:t>
      </w:r>
    </w:p>
    <w:p w14:paraId="16580AD8" w14:textId="77777777" w:rsidR="008B5090" w:rsidRPr="008B5090" w:rsidRDefault="008B5090" w:rsidP="00931152"/>
    <w:p w14:paraId="6F76DDF3" w14:textId="56315DBB" w:rsidR="00D74BB7" w:rsidRDefault="00D74BB7" w:rsidP="00A317A0">
      <w:pPr>
        <w:ind w:firstLine="0"/>
        <w:jc w:val="center"/>
      </w:pPr>
      <w:r>
        <w:rPr>
          <w:noProof/>
        </w:rPr>
        <w:lastRenderedPageBreak/>
        <w:drawing>
          <wp:inline distT="0" distB="0" distL="0" distR="0" wp14:anchorId="3EE5BF8D" wp14:editId="0C56066E">
            <wp:extent cx="5760720" cy="6516526"/>
            <wp:effectExtent l="0" t="0" r="5080" b="0"/>
            <wp:docPr id="1405825904" name="Picture 1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25904" name="Picture 14" descr="A close-up of a graph&#10;&#10;Description automatically generated"/>
                    <pic:cNvPicPr/>
                  </pic:nvPicPr>
                  <pic:blipFill>
                    <a:blip r:embed="rId22"/>
                    <a:stretch>
                      <a:fillRect/>
                    </a:stretch>
                  </pic:blipFill>
                  <pic:spPr>
                    <a:xfrm>
                      <a:off x="0" y="0"/>
                      <a:ext cx="5760720" cy="6516526"/>
                    </a:xfrm>
                    <a:prstGeom prst="rect">
                      <a:avLst/>
                    </a:prstGeom>
                  </pic:spPr>
                </pic:pic>
              </a:graphicData>
            </a:graphic>
          </wp:inline>
        </w:drawing>
      </w:r>
    </w:p>
    <w:p w14:paraId="3E2DA4A5" w14:textId="4E2BCC3F" w:rsidR="00D74BB7" w:rsidRDefault="00D74BB7" w:rsidP="00D74BB7">
      <w:pPr>
        <w:pStyle w:val="Caption"/>
      </w:pPr>
      <w:r w:rsidRPr="00006FF4">
        <w:rPr>
          <w:b/>
          <w:bCs/>
        </w:rPr>
        <w:t xml:space="preserve">Figure </w:t>
      </w:r>
      <w:r w:rsidR="00935168" w:rsidRPr="00006FF4">
        <w:rPr>
          <w:b/>
          <w:bCs/>
        </w:rPr>
        <w:t>D7</w:t>
      </w:r>
      <w:r w:rsidRPr="00006FF4">
        <w:rPr>
          <w:b/>
          <w:bCs/>
        </w:rPr>
        <w:t>.</w:t>
      </w:r>
      <w:r>
        <w:t xml:space="preserve"> </w:t>
      </w:r>
      <w:r w:rsidR="00F06EDB">
        <w:t>Summary of Steps 3-5 for the simulated and recorded events</w:t>
      </w:r>
      <w:r>
        <w:t xml:space="preserve">. </w:t>
      </w:r>
    </w:p>
    <w:p w14:paraId="70440D5A" w14:textId="77777777" w:rsidR="00BD130A" w:rsidRDefault="00BD130A" w:rsidP="00931152"/>
    <w:p w14:paraId="6BF8F2D5" w14:textId="77777777" w:rsidR="00006FF4" w:rsidRDefault="00006FF4">
      <w:pPr>
        <w:spacing w:after="0" w:line="240" w:lineRule="auto"/>
        <w:ind w:firstLine="0"/>
        <w:jc w:val="left"/>
        <w:rPr>
          <w:rFonts w:eastAsiaTheme="majorEastAsia" w:cstheme="majorBidi"/>
          <w:b/>
          <w:color w:val="000000" w:themeColor="text1"/>
          <w:sz w:val="28"/>
          <w:szCs w:val="32"/>
        </w:rPr>
      </w:pPr>
      <w:bookmarkStart w:id="3" w:name="_Toc158293738"/>
      <w:r>
        <w:br w:type="page"/>
      </w:r>
    </w:p>
    <w:p w14:paraId="5689A049" w14:textId="3E58B3DD" w:rsidR="00931152" w:rsidRDefault="00931152" w:rsidP="00C40932">
      <w:pPr>
        <w:pStyle w:val="Heading1"/>
      </w:pPr>
      <w:r>
        <w:lastRenderedPageBreak/>
        <w:t xml:space="preserve">Appendix </w:t>
      </w:r>
      <w:r w:rsidR="00E347DC">
        <w:t>E</w:t>
      </w:r>
      <w:r>
        <w:t>: Aleatory Variability Model Development</w:t>
      </w:r>
      <w:bookmarkEnd w:id="3"/>
    </w:p>
    <w:p w14:paraId="1561731B" w14:textId="71E15E6D" w:rsidR="00931152" w:rsidRPr="00C40932" w:rsidRDefault="00CA7A67" w:rsidP="00C40932">
      <w:pPr>
        <w:spacing w:after="0"/>
        <w:ind w:firstLine="0"/>
        <w:jc w:val="left"/>
        <w:rPr>
          <w:b/>
          <w:bCs/>
        </w:rPr>
      </w:pPr>
      <w:r w:rsidRPr="00D3677F">
        <w:rPr>
          <w:b/>
          <w:bCs/>
        </w:rPr>
        <w:t>Part 1: NGA-W2 Data</w:t>
      </w:r>
    </w:p>
    <w:p w14:paraId="09A751EF" w14:textId="4A03F9A6" w:rsidR="00CA7A67" w:rsidRDefault="00CA7A67" w:rsidP="00CA7A67">
      <w:r>
        <w:t xml:space="preserve">Using the final model coefficients, the within-event residuals of the NGA-W2 data are adjusted for median directivity effects. We calculate </w:t>
      </w:r>
      <m:oMath>
        <m:r>
          <w:rPr>
            <w:rFonts w:ascii="Cambria Math" w:hAnsi="Cambria Math"/>
          </w:rPr>
          <m:t>ϕ</m:t>
        </m:r>
      </m:oMath>
      <w:r>
        <w:t xml:space="preserve"> before and after this adjustment for the NGA-W2 events </w:t>
      </w:r>
      <w:r w:rsidR="00C01AD2">
        <w:t>used to develop the median model</w:t>
      </w:r>
      <w:r>
        <w:t>. In these calculations, stations are included only if they are within the distance range for which the model predicts directivity adjustments (</w:t>
      </w:r>
      <w:r w:rsidR="0068755D">
        <w:t>i.e</w:t>
      </w:r>
      <w:r>
        <w:t xml:space="preserve">. for rupture distances less than 80 km). At both stages, the within-event residuals </w:t>
      </w:r>
      <w:r w:rsidR="004E0121">
        <w:t xml:space="preserve">are inspected </w:t>
      </w:r>
      <w:r>
        <w:t xml:space="preserve">versus rupture distance and the centered directivity predictor,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t xml:space="preserve">, as shown in </w:t>
      </w:r>
      <w:r w:rsidR="002A58C1">
        <w:t xml:space="preserve">Figure </w:t>
      </w:r>
      <w:r w:rsidR="00935168">
        <w:t>E</w:t>
      </w:r>
      <w:r w:rsidR="002A58C1">
        <w:t>1,</w:t>
      </w:r>
      <w:r>
        <w:t xml:space="preserve"> where the red circles are the residuals after applying the directivity median adjustment. The purpose of this evaluation is to confirm that the distance scaling is not adversely affected, and to visualize the effect of the directivity model, which reduces the residuals for positive values of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sidR="002A58C1">
        <w:t xml:space="preserve">, </w:t>
      </w:r>
      <w:r>
        <w:rPr>
          <w:rFonts w:eastAsiaTheme="minorEastAsia"/>
        </w:rPr>
        <w:t xml:space="preserve">and increases them for negative </w:t>
      </w:r>
      <m:oMath>
        <m:sSubSup>
          <m:sSubSupPr>
            <m:ctrlPr>
              <w:rPr>
                <w:rFonts w:ascii="Cambria Math" w:hAnsi="Cambria Math"/>
                <w:i/>
              </w:rPr>
            </m:ctrlPr>
          </m:sSubSupPr>
          <m:e>
            <m:r>
              <w:rPr>
                <w:rFonts w:ascii="Cambria Math" w:hAnsi="Cambria Math"/>
              </w:rPr>
              <m:t>f</m:t>
            </m:r>
          </m:e>
          <m:sub>
            <m:r>
              <w:rPr>
                <w:rFonts w:ascii="Cambria Math" w:hAnsi="Cambria Math"/>
              </w:rPr>
              <m:t>G</m:t>
            </m:r>
          </m:sub>
          <m:sup>
            <m:r>
              <w:rPr>
                <w:rFonts w:ascii="Cambria Math" w:hAnsi="Cambria Math"/>
              </w:rPr>
              <m:t>'</m:t>
            </m:r>
          </m:sup>
        </m:sSubSup>
      </m:oMath>
      <w:r>
        <w:rPr>
          <w:rFonts w:eastAsiaTheme="minorEastAsia"/>
        </w:rPr>
        <w:t xml:space="preserve">. In the case of the </w:t>
      </w:r>
      <w:r w:rsidR="002A58C1">
        <w:rPr>
          <w:rFonts w:eastAsiaTheme="minorEastAsia"/>
        </w:rPr>
        <w:t xml:space="preserve">Landers </w:t>
      </w:r>
      <w:r>
        <w:rPr>
          <w:rFonts w:eastAsiaTheme="minorEastAsia"/>
        </w:rPr>
        <w:t>earthquake (T=</w:t>
      </w:r>
      <w:r w:rsidR="002A58C1">
        <w:rPr>
          <w:rFonts w:eastAsiaTheme="minorEastAsia"/>
        </w:rPr>
        <w:t>7.</w:t>
      </w:r>
      <w:r>
        <w:rPr>
          <w:rFonts w:eastAsiaTheme="minorEastAsia"/>
        </w:rPr>
        <w:t xml:space="preserve">5 sec), application of the model reduces </w:t>
      </w:r>
      <m:oMath>
        <m:r>
          <w:rPr>
            <w:rFonts w:ascii="Cambria Math" w:hAnsi="Cambria Math"/>
          </w:rPr>
          <m:t>ϕ</m:t>
        </m:r>
      </m:oMath>
      <w:r>
        <w:rPr>
          <w:rFonts w:eastAsiaTheme="minorEastAsia"/>
        </w:rPr>
        <w:t xml:space="preserve"> as indicated in the bottom panel of </w:t>
      </w:r>
      <w:r>
        <w:t xml:space="preserve">Figure </w:t>
      </w:r>
      <w:r w:rsidR="00935168">
        <w:t>E</w:t>
      </w:r>
      <w:r>
        <w:t>1</w:t>
      </w:r>
      <w:r w:rsidR="00C01AD2">
        <w:t>.</w:t>
      </w:r>
    </w:p>
    <w:p w14:paraId="72FEF51E" w14:textId="47D83291" w:rsidR="00CA7A67" w:rsidRDefault="004E0121" w:rsidP="00BB29EF">
      <w:pPr>
        <w:ind w:firstLine="0"/>
        <w:jc w:val="center"/>
      </w:pPr>
      <w:r>
        <w:rPr>
          <w:noProof/>
        </w:rPr>
        <w:drawing>
          <wp:inline distT="0" distB="0" distL="0" distR="0" wp14:anchorId="4C18BF90" wp14:editId="21BFA8D1">
            <wp:extent cx="5760720" cy="4414705"/>
            <wp:effectExtent l="0" t="0" r="5080" b="5080"/>
            <wp:docPr id="1466861558"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61558" name="Picture 19" descr="A screenshot of a graph&#10;&#10;Description automatically generated"/>
                    <pic:cNvPicPr/>
                  </pic:nvPicPr>
                  <pic:blipFill>
                    <a:blip r:embed="rId23"/>
                    <a:stretch>
                      <a:fillRect/>
                    </a:stretch>
                  </pic:blipFill>
                  <pic:spPr>
                    <a:xfrm>
                      <a:off x="0" y="0"/>
                      <a:ext cx="5760720" cy="4414705"/>
                    </a:xfrm>
                    <a:prstGeom prst="rect">
                      <a:avLst/>
                    </a:prstGeom>
                  </pic:spPr>
                </pic:pic>
              </a:graphicData>
            </a:graphic>
          </wp:inline>
        </w:drawing>
      </w:r>
    </w:p>
    <w:p w14:paraId="3A0E820D" w14:textId="45D84909" w:rsidR="00CA7A67" w:rsidRDefault="00CA7A67" w:rsidP="00CA7A67">
      <w:pPr>
        <w:pStyle w:val="Caption"/>
      </w:pPr>
      <w:r w:rsidRPr="00006FF4">
        <w:rPr>
          <w:b/>
          <w:bCs/>
        </w:rPr>
        <w:t xml:space="preserve">Figure </w:t>
      </w:r>
      <w:r w:rsidR="00935168" w:rsidRPr="00006FF4">
        <w:rPr>
          <w:b/>
          <w:bCs/>
        </w:rPr>
        <w:t>E1</w:t>
      </w:r>
      <w:r w:rsidRPr="00006FF4">
        <w:rPr>
          <w:b/>
          <w:bCs/>
        </w:rPr>
        <w:t>.</w:t>
      </w:r>
      <w:r>
        <w:t xml:space="preserve"> The effect of applying the directivity adjustment model on Abrahamson et al. (2014) within-event residuals for the </w:t>
      </w:r>
      <w:r w:rsidR="002A58C1">
        <w:t>Landers</w:t>
      </w:r>
      <w:r>
        <w:t xml:space="preserve"> earthquake, considering sites within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max</m:t>
            </m:r>
          </m:sub>
        </m:sSub>
        <m:r>
          <w:rPr>
            <w:rFonts w:ascii="Cambria Math" w:eastAsiaTheme="minorEastAsia" w:hAnsi="Cambria Math"/>
          </w:rPr>
          <m:t>=</m:t>
        </m:r>
      </m:oMath>
      <w:r>
        <w:t xml:space="preserve"> </w:t>
      </w:r>
      <w:r w:rsidR="002A58C1">
        <w:t>8</w:t>
      </w:r>
      <w:r>
        <w:t>0 km rupture distance, at T=</w:t>
      </w:r>
      <w:r w:rsidR="002A58C1">
        <w:t>7.</w:t>
      </w:r>
      <w:r>
        <w:t xml:space="preserve">5 sec. </w:t>
      </w:r>
      <w:proofErr w:type="gramStart"/>
      <w:r>
        <w:t>Blue and green</w:t>
      </w:r>
      <w:proofErr w:type="gramEnd"/>
      <w:r>
        <w:t xml:space="preserve"> circles are the residuals before the adjustment, and </w:t>
      </w:r>
      <w:r w:rsidR="00F206AB">
        <w:t xml:space="preserve">smaller </w:t>
      </w:r>
      <w:r>
        <w:t xml:space="preserve">red circles are after. </w:t>
      </w:r>
    </w:p>
    <w:p w14:paraId="2EEE5E60" w14:textId="209B30D1" w:rsidR="00CA7A67" w:rsidRDefault="00CA7A67" w:rsidP="00BB29EF">
      <w:r>
        <w:lastRenderedPageBreak/>
        <w:t xml:space="preserve">The period dependence of </w:t>
      </w:r>
      <m:oMath>
        <m:sSub>
          <m:sSubPr>
            <m:ctrlPr>
              <w:rPr>
                <w:rFonts w:ascii="Cambria Math" w:eastAsiaTheme="minorEastAsia" w:hAnsi="Cambria Math"/>
                <w:i/>
              </w:rPr>
            </m:ctrlPr>
          </m:sSubPr>
          <m:e>
            <m:r>
              <w:rPr>
                <w:rFonts w:ascii="Cambria Math" w:hAnsi="Cambria Math"/>
              </w:rPr>
              <m:t>ϕ</m:t>
            </m:r>
            <m:ctrlPr>
              <w:rPr>
                <w:rFonts w:ascii="Cambria Math" w:hAnsi="Cambria Math"/>
                <w:i/>
              </w:rPr>
            </m:ctrlPr>
          </m:e>
          <m:sub>
            <m:r>
              <w:rPr>
                <w:rFonts w:ascii="Cambria Math" w:eastAsiaTheme="minorEastAsia" w:hAnsi="Cambria Math"/>
              </w:rPr>
              <m:t>Reduction</m:t>
            </m:r>
          </m:sub>
        </m:sSub>
      </m:oMath>
      <w:r>
        <w:t xml:space="preserve"> </w:t>
      </w:r>
      <w:r w:rsidR="00E46F15">
        <w:t xml:space="preserve">from all events </w:t>
      </w:r>
      <w:r>
        <w:t>is shown in</w:t>
      </w:r>
      <w:r w:rsidR="00E46F15">
        <w:t xml:space="preserve"> Figure </w:t>
      </w:r>
      <w:r w:rsidR="00935168">
        <w:t>2</w:t>
      </w:r>
      <w:r w:rsidR="00BB29EF">
        <w:t xml:space="preserve"> of the main article</w:t>
      </w:r>
      <w:r>
        <w:t xml:space="preserve">, and the values are listed in </w:t>
      </w:r>
      <w:r w:rsidR="00E46F15">
        <w:t xml:space="preserve">Table </w:t>
      </w:r>
      <w:r w:rsidR="00935168">
        <w:t>2</w:t>
      </w:r>
      <w:r w:rsidR="00E46F15">
        <w:t>.</w:t>
      </w:r>
    </w:p>
    <w:p w14:paraId="1B03BE7E" w14:textId="3CBF8057" w:rsidR="008A52B4" w:rsidRPr="00D3677F" w:rsidRDefault="008A52B4" w:rsidP="00006FF4">
      <w:pPr>
        <w:spacing w:after="0"/>
        <w:ind w:firstLine="0"/>
        <w:jc w:val="left"/>
        <w:rPr>
          <w:b/>
          <w:bCs/>
        </w:rPr>
      </w:pPr>
      <w:r w:rsidRPr="00D3677F">
        <w:rPr>
          <w:b/>
          <w:bCs/>
        </w:rPr>
        <w:t>Part 2: Simulations</w:t>
      </w:r>
    </w:p>
    <w:p w14:paraId="36C811CC" w14:textId="461AF44F" w:rsidR="008A52B4" w:rsidRDefault="008A52B4" w:rsidP="008A52B4">
      <w:r>
        <w:t xml:space="preserve">The procedure for the NGA-W2 data was followed for the simulations used to develop the median model. The period dependence of </w:t>
      </w:r>
      <m:oMath>
        <m:sSub>
          <m:sSubPr>
            <m:ctrlPr>
              <w:rPr>
                <w:rFonts w:ascii="Cambria Math" w:eastAsiaTheme="minorEastAsia" w:hAnsi="Cambria Math"/>
                <w:i/>
              </w:rPr>
            </m:ctrlPr>
          </m:sSubPr>
          <m:e>
            <m:r>
              <w:rPr>
                <w:rFonts w:ascii="Cambria Math" w:hAnsi="Cambria Math"/>
              </w:rPr>
              <m:t>ϕ</m:t>
            </m:r>
            <m:ctrlPr>
              <w:rPr>
                <w:rFonts w:ascii="Cambria Math" w:hAnsi="Cambria Math"/>
                <w:i/>
              </w:rPr>
            </m:ctrlPr>
          </m:e>
          <m:sub>
            <m:r>
              <w:rPr>
                <w:rFonts w:ascii="Cambria Math" w:eastAsiaTheme="minorEastAsia" w:hAnsi="Cambria Math"/>
              </w:rPr>
              <m:t>Reduction</m:t>
            </m:r>
          </m:sub>
        </m:sSub>
      </m:oMath>
      <w:r>
        <w:t xml:space="preserve"> from all simulated events is shown in Figure </w:t>
      </w:r>
      <w:r w:rsidR="00BB29EF">
        <w:t>2 of the main article</w:t>
      </w:r>
      <w:r>
        <w:t xml:space="preserve">, and the values are listed in Table </w:t>
      </w:r>
      <w:r w:rsidR="008E472B">
        <w:t>2</w:t>
      </w:r>
      <w:r>
        <w:t>.</w:t>
      </w:r>
    </w:p>
    <w:p w14:paraId="3041EBF9" w14:textId="77777777" w:rsidR="003B18E4" w:rsidRDefault="003B18E4">
      <w:pPr>
        <w:spacing w:after="0"/>
        <w:jc w:val="left"/>
      </w:pPr>
    </w:p>
    <w:p w14:paraId="512D0186" w14:textId="39839436" w:rsidR="003B18E4" w:rsidRDefault="003B18E4">
      <w:pPr>
        <w:spacing w:after="0"/>
        <w:jc w:val="left"/>
      </w:pPr>
      <w:r>
        <w:br w:type="page"/>
      </w:r>
    </w:p>
    <w:p w14:paraId="615C27C1" w14:textId="36875478" w:rsidR="003B18E4" w:rsidRDefault="003B18E4" w:rsidP="00C40932">
      <w:pPr>
        <w:pStyle w:val="Heading1"/>
      </w:pPr>
      <w:bookmarkStart w:id="4" w:name="_Toc158293739"/>
      <w:r>
        <w:lastRenderedPageBreak/>
        <w:t xml:space="preserve">Appendix </w:t>
      </w:r>
      <w:r w:rsidR="00E347DC">
        <w:t>F</w:t>
      </w:r>
      <w:r>
        <w:t xml:space="preserve">: </w:t>
      </w:r>
      <w:r w:rsidRPr="00C40932">
        <w:t>Examples</w:t>
      </w:r>
      <w:bookmarkEnd w:id="4"/>
    </w:p>
    <w:p w14:paraId="0C7CC7BB" w14:textId="6D76EDA1" w:rsidR="00BB7939" w:rsidRPr="00BB7939" w:rsidRDefault="00BB7939" w:rsidP="00BB7939">
      <w:r>
        <w:t xml:space="preserve">This appendix provides a series of example applications of the </w:t>
      </w:r>
      <w:r w:rsidR="00E347DC">
        <w:t xml:space="preserve">Bea24 </w:t>
      </w:r>
      <w:r>
        <w:t>model.</w:t>
      </w:r>
    </w:p>
    <w:p w14:paraId="52D197C1" w14:textId="191D1A0B" w:rsidR="00BB76C3" w:rsidRPr="00D3677F" w:rsidRDefault="00BB7939" w:rsidP="00006FF4">
      <w:pPr>
        <w:ind w:firstLine="0"/>
        <w:rPr>
          <w:b/>
          <w:bCs/>
        </w:rPr>
      </w:pPr>
      <w:r w:rsidRPr="00D3677F">
        <w:rPr>
          <w:b/>
          <w:bCs/>
        </w:rPr>
        <w:t>Example 1</w:t>
      </w:r>
    </w:p>
    <w:p w14:paraId="665BB392" w14:textId="513CD0BE" w:rsidR="00BB7939" w:rsidRDefault="00BB7939" w:rsidP="00BB7939">
      <w:r>
        <w:rPr>
          <w:rFonts w:eastAsiaTheme="minorEastAsia"/>
        </w:rPr>
        <w:t xml:space="preserve">This scenario (borrowed from the test scenarios in Table 1.2 of Spudich et al., 2013) is a </w:t>
      </w:r>
      <w:r>
        <w:rPr>
          <w:rFonts w:eastAsiaTheme="minorEastAsia"/>
          <w:b/>
          <w:bCs/>
        </w:rPr>
        <w:t>M</w:t>
      </w:r>
      <w:r>
        <w:rPr>
          <w:rFonts w:eastAsiaTheme="minorEastAsia"/>
        </w:rPr>
        <w:t>7.2 vertical strike-slip rupture with rake angle of 180 degrees, and with length of 80 km and down-dip width of 15 km. The hypocenter</w:t>
      </w:r>
      <w:r w:rsidR="00B8154D">
        <w:rPr>
          <w:rFonts w:eastAsiaTheme="minorEastAsia"/>
        </w:rPr>
        <w:t xml:space="preserve"> (red star)</w:t>
      </w:r>
      <w:r>
        <w:rPr>
          <w:rFonts w:eastAsiaTheme="minorEastAsia"/>
        </w:rPr>
        <w:t xml:space="preserve"> is located 10 km from the southern end of the rupture, at 10 km depth. The</w:t>
      </w:r>
      <w:r w:rsidRPr="00BB7939">
        <w:t xml:space="preserve"> </w:t>
      </w:r>
      <w:r>
        <w:t xml:space="preserve">origin for the GC2 calculation required by Bea24 is the rupture surface trace ordinate of the up-dip projection of the hypocenter, which is the same as the epicenter for a vertically dipping rupture. Figure </w:t>
      </w:r>
      <w:r w:rsidR="008E472B">
        <w:t>F</w:t>
      </w:r>
      <w:r>
        <w:t xml:space="preserve">1 shows the spatial fields of median amplification (exponential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t>) at T=3 sec spectral period, for Model 1 (simulation-based, left) and Model 2 (NGA-W2 data-based, right). The spatial patterns of amplification are the same between the models because both models have the same functional form and only differ in their coefficients.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BB7939" w14:paraId="3AC4E1FA" w14:textId="77777777" w:rsidTr="009E2243">
        <w:trPr>
          <w:trHeight w:val="3797"/>
        </w:trPr>
        <w:tc>
          <w:tcPr>
            <w:tcW w:w="9350" w:type="dxa"/>
            <w:vAlign w:val="center"/>
          </w:tcPr>
          <w:p w14:paraId="1F3E796C" w14:textId="0842DFD7" w:rsidR="00BB7939" w:rsidRDefault="00BB7939" w:rsidP="00BB29EF">
            <w:pPr>
              <w:spacing w:after="0"/>
              <w:ind w:firstLine="0"/>
              <w:jc w:val="center"/>
            </w:pPr>
            <w:r>
              <w:rPr>
                <w:noProof/>
              </w:rPr>
              <w:drawing>
                <wp:inline distT="0" distB="0" distL="0" distR="0" wp14:anchorId="0891FBD9" wp14:editId="75034F80">
                  <wp:extent cx="5752618" cy="3226629"/>
                  <wp:effectExtent l="0" t="0" r="635" b="0"/>
                  <wp:docPr id="1032087062" name="Picture 2" descr="A comparison of a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87062" name="Picture 2" descr="A comparison of a model&#10;&#10;Description automatically generated with medium confidence"/>
                          <pic:cNvPicPr/>
                        </pic:nvPicPr>
                        <pic:blipFill>
                          <a:blip r:embed="rId24"/>
                          <a:stretch>
                            <a:fillRect/>
                          </a:stretch>
                        </pic:blipFill>
                        <pic:spPr>
                          <a:xfrm>
                            <a:off x="0" y="0"/>
                            <a:ext cx="5763089" cy="3232502"/>
                          </a:xfrm>
                          <a:prstGeom prst="rect">
                            <a:avLst/>
                          </a:prstGeom>
                        </pic:spPr>
                      </pic:pic>
                    </a:graphicData>
                  </a:graphic>
                </wp:inline>
              </w:drawing>
            </w:r>
          </w:p>
        </w:tc>
      </w:tr>
    </w:tbl>
    <w:p w14:paraId="2E1E0113" w14:textId="6DA54793" w:rsidR="00BB7939" w:rsidRDefault="00BB7939" w:rsidP="00BB7939">
      <w:pPr>
        <w:pStyle w:val="Caption"/>
      </w:pPr>
      <w:r w:rsidRPr="00006FF4">
        <w:rPr>
          <w:b/>
          <w:bCs/>
        </w:rPr>
        <w:t xml:space="preserve">Figure </w:t>
      </w:r>
      <w:r w:rsidR="008E472B" w:rsidRPr="00006FF4">
        <w:rPr>
          <w:b/>
          <w:bCs/>
        </w:rPr>
        <w:t>F</w:t>
      </w:r>
      <w:r w:rsidR="00006FF4" w:rsidRPr="00006FF4">
        <w:rPr>
          <w:b/>
          <w:bCs/>
        </w:rPr>
        <w:t>1</w:t>
      </w:r>
      <w:r w:rsidRPr="00006FF4">
        <w:rPr>
          <w:b/>
          <w:bCs/>
        </w:rPr>
        <w:t>.</w:t>
      </w:r>
      <w:r w:rsidR="00006FF4">
        <w:t xml:space="preserve"> </w:t>
      </w:r>
      <w:r>
        <w:t>The spatial fields of amplification for the Example 1 scenario rupture, T=3 sec.</w:t>
      </w:r>
    </w:p>
    <w:p w14:paraId="64F4C736" w14:textId="1572F6D5" w:rsidR="00BB7939" w:rsidRDefault="00BB7939">
      <w:pPr>
        <w:spacing w:after="0"/>
        <w:jc w:val="left"/>
      </w:pPr>
      <w:r>
        <w:br w:type="page"/>
      </w:r>
    </w:p>
    <w:p w14:paraId="76740FF5" w14:textId="31103C20" w:rsidR="00BB7939" w:rsidRPr="00D3677F" w:rsidRDefault="00BB7939" w:rsidP="00006FF4">
      <w:pPr>
        <w:ind w:firstLine="0"/>
        <w:rPr>
          <w:b/>
          <w:bCs/>
        </w:rPr>
      </w:pPr>
      <w:r w:rsidRPr="00D3677F">
        <w:rPr>
          <w:b/>
          <w:bCs/>
        </w:rPr>
        <w:lastRenderedPageBreak/>
        <w:t>Example 2</w:t>
      </w:r>
    </w:p>
    <w:p w14:paraId="5270122A" w14:textId="47D4C784" w:rsidR="00BB7939" w:rsidRDefault="00BB7939" w:rsidP="00BB7939">
      <w:r>
        <w:t xml:space="preserve">This example is based on the 2002 Denali, Alaska earthquake using the rupture model adopted by NGA-West2. This rupture model has </w:t>
      </w:r>
      <w:r>
        <w:rPr>
          <w:b/>
          <w:bCs/>
        </w:rPr>
        <w:t>M</w:t>
      </w:r>
      <w:r>
        <w:t xml:space="preserve">7.9 and is composed of three strands. Strand 1, which contains the hypocenter, is 45.1 km in length and 24 km width and is shallowly dipping (dip=32 deg). Strand 2 is 213.7 km long and 15 km wide, with 80-degree dip. Finally, Strand 3 is 67.9 km long and 15 km wide, with 90-degree dip. A </w:t>
      </w:r>
      <w:r w:rsidR="006C5587">
        <w:t>representative</w:t>
      </w:r>
      <w:r>
        <w:t xml:space="preserve"> rake of 171 degrees is assumed based on the larger rupture areas of strands 2 and 3 compared to strand 1.</w:t>
      </w:r>
      <w:r w:rsidR="00B8154D">
        <w:t xml:space="preserve"> </w:t>
      </w:r>
      <w:r w:rsidR="00B8154D">
        <w:rPr>
          <w:rFonts w:eastAsiaTheme="minorEastAsia"/>
        </w:rPr>
        <w:t>The</w:t>
      </w:r>
      <w:r w:rsidR="00B8154D" w:rsidRPr="00BB7939">
        <w:t xml:space="preserve"> </w:t>
      </w:r>
      <w:r w:rsidR="00B8154D">
        <w:t>origin for the GC2 calculation required by Bea24 is the rupture surface trace ordinate of the up-dip projection of the hypocenter (white circle).</w:t>
      </w:r>
      <w:r>
        <w:t xml:space="preserve"> Figure </w:t>
      </w:r>
      <w:r w:rsidR="008E472B">
        <w:t>F</w:t>
      </w:r>
      <w:r>
        <w:t>2 shows the spatial field of</w:t>
      </w:r>
      <w:r w:rsidR="00EB748F">
        <w:t xml:space="preserve"> Bea24</w:t>
      </w:r>
      <w:r>
        <w:t xml:space="preserve"> median amplification (exponential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t>) at T=5 sec spectral period, for Model 1 (simulation-based).</w:t>
      </w:r>
    </w:p>
    <w:p w14:paraId="5D3099BB" w14:textId="77777777" w:rsidR="00BB7939" w:rsidRDefault="00BB7939" w:rsidP="003B18E4">
      <w:pPr>
        <w:spacing w:after="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BB7939" w14:paraId="5589F598" w14:textId="77777777" w:rsidTr="009E2243">
        <w:trPr>
          <w:trHeight w:val="3797"/>
        </w:trPr>
        <w:tc>
          <w:tcPr>
            <w:tcW w:w="9350" w:type="dxa"/>
            <w:vAlign w:val="center"/>
          </w:tcPr>
          <w:p w14:paraId="2BCF94BE" w14:textId="3E649E25" w:rsidR="00BB7939" w:rsidRDefault="001D20B4" w:rsidP="00BB29EF">
            <w:pPr>
              <w:spacing w:after="0"/>
              <w:ind w:firstLine="0"/>
              <w:jc w:val="center"/>
            </w:pPr>
            <w:r>
              <w:rPr>
                <w:noProof/>
              </w:rPr>
              <w:drawing>
                <wp:inline distT="0" distB="0" distL="0" distR="0" wp14:anchorId="3513BE9E" wp14:editId="6410CA54">
                  <wp:extent cx="5641661" cy="3414531"/>
                  <wp:effectExtent l="0" t="0" r="0" b="1905"/>
                  <wp:docPr id="220162797" name="Picture 6" descr="A ma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2797" name="Picture 6" descr="A map of a map&#10;&#10;Description automatically generated"/>
                          <pic:cNvPicPr/>
                        </pic:nvPicPr>
                        <pic:blipFill>
                          <a:blip r:embed="rId25"/>
                          <a:stretch>
                            <a:fillRect/>
                          </a:stretch>
                        </pic:blipFill>
                        <pic:spPr>
                          <a:xfrm>
                            <a:off x="0" y="0"/>
                            <a:ext cx="5645439" cy="3416818"/>
                          </a:xfrm>
                          <a:prstGeom prst="rect">
                            <a:avLst/>
                          </a:prstGeom>
                        </pic:spPr>
                      </pic:pic>
                    </a:graphicData>
                  </a:graphic>
                </wp:inline>
              </w:drawing>
            </w:r>
          </w:p>
        </w:tc>
      </w:tr>
    </w:tbl>
    <w:p w14:paraId="289FA761" w14:textId="77777777" w:rsidR="00BB7939" w:rsidRDefault="00BB7939" w:rsidP="00BB7939">
      <w:pPr>
        <w:pStyle w:val="Caption"/>
      </w:pPr>
    </w:p>
    <w:p w14:paraId="0FE501F1" w14:textId="10C5F982" w:rsidR="00BB7939" w:rsidRDefault="00BB7939" w:rsidP="00BB7939">
      <w:pPr>
        <w:pStyle w:val="Caption"/>
      </w:pPr>
      <w:r w:rsidRPr="00006FF4">
        <w:rPr>
          <w:b/>
          <w:bCs/>
        </w:rPr>
        <w:t xml:space="preserve">Figure </w:t>
      </w:r>
      <w:r w:rsidR="008E472B" w:rsidRPr="00006FF4">
        <w:rPr>
          <w:b/>
          <w:bCs/>
        </w:rPr>
        <w:t>F2</w:t>
      </w:r>
      <w:r w:rsidRPr="00006FF4">
        <w:rPr>
          <w:b/>
          <w:bCs/>
        </w:rPr>
        <w:t>.</w:t>
      </w:r>
      <w:r w:rsidRPr="00BB7939">
        <w:t xml:space="preserve"> </w:t>
      </w:r>
      <w:r>
        <w:t xml:space="preserve">The spatial fields of amplification for the Example 2 </w:t>
      </w:r>
      <w:r w:rsidR="001D20B4">
        <w:t>(</w:t>
      </w:r>
      <w:r>
        <w:t>Denali earthquake</w:t>
      </w:r>
      <w:r w:rsidR="001D20B4">
        <w:t>)</w:t>
      </w:r>
      <w:r>
        <w:t xml:space="preserve"> rupture, T=5 sec.</w:t>
      </w:r>
    </w:p>
    <w:p w14:paraId="5F883BE3" w14:textId="77777777" w:rsidR="00BB7939" w:rsidRDefault="00BB7939" w:rsidP="00BB7939"/>
    <w:p w14:paraId="086E5C4B" w14:textId="77777777" w:rsidR="00BB7939" w:rsidRDefault="00BB7939" w:rsidP="00BB7939">
      <w:pPr>
        <w:spacing w:after="0"/>
        <w:jc w:val="left"/>
      </w:pPr>
      <w:r>
        <w:br w:type="page"/>
      </w:r>
    </w:p>
    <w:p w14:paraId="3D76FEE3" w14:textId="207F57F2" w:rsidR="00BB7939" w:rsidRPr="002B1318" w:rsidRDefault="0065316E" w:rsidP="00006FF4">
      <w:pPr>
        <w:ind w:firstLine="0"/>
        <w:rPr>
          <w:b/>
          <w:bCs/>
        </w:rPr>
      </w:pPr>
      <w:r w:rsidRPr="002B1318">
        <w:rPr>
          <w:b/>
          <w:bCs/>
        </w:rPr>
        <w:lastRenderedPageBreak/>
        <w:t>Example 3</w:t>
      </w:r>
    </w:p>
    <w:p w14:paraId="7A3B1635" w14:textId="4D081938" w:rsidR="0065316E" w:rsidRDefault="0065316E" w:rsidP="0065316E">
      <w:r>
        <w:t>This example is for</w:t>
      </w:r>
      <w:r w:rsidRPr="0065316E">
        <w:t xml:space="preserve"> the </w:t>
      </w:r>
      <w:r>
        <w:rPr>
          <w:b/>
          <w:bCs/>
        </w:rPr>
        <w:t>M</w:t>
      </w:r>
      <w:r w:rsidRPr="0065316E">
        <w:t xml:space="preserve">7.8 scenario earthquake representing the 1906 San Francisco event. </w:t>
      </w:r>
      <w:r>
        <w:t>T</w:t>
      </w:r>
      <w:r w:rsidRPr="0065316E">
        <w:t xml:space="preserve">he rupture is defined as in </w:t>
      </w:r>
      <w:proofErr w:type="spellStart"/>
      <w:r w:rsidRPr="0065316E">
        <w:t>Aagaard</w:t>
      </w:r>
      <w:proofErr w:type="spellEnd"/>
      <w:r w:rsidRPr="0065316E">
        <w:t xml:space="preserve"> et al., (2009). The rupture is 478 km in length and has a </w:t>
      </w:r>
      <w:r w:rsidR="006C5587">
        <w:t>representative</w:t>
      </w:r>
      <w:r w:rsidRPr="0065316E">
        <w:t xml:space="preserve"> rake angle of zero degrees</w:t>
      </w:r>
      <w:r>
        <w:t>.</w:t>
      </w:r>
      <w:r w:rsidR="00EB748F">
        <w:t xml:space="preserve"> Figure </w:t>
      </w:r>
      <w:r w:rsidR="008E472B">
        <w:t>F</w:t>
      </w:r>
      <w:r w:rsidR="00EB748F">
        <w:t xml:space="preserve">3 shows the spatial field of Bea24 </w:t>
      </w:r>
      <w:r w:rsidR="00C30333">
        <w:t>(</w:t>
      </w:r>
      <w:r w:rsidR="00EB748F">
        <w:t>Model 1</w:t>
      </w:r>
      <w:r w:rsidR="00C30333">
        <w:t>)</w:t>
      </w:r>
      <w:r w:rsidR="00EB748F">
        <w:t xml:space="preserve"> median amplification (exponential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sidR="00EB748F">
        <w:t>) at T=7 sec spectral period.</w:t>
      </w:r>
    </w:p>
    <w:p w14:paraId="48B0588C" w14:textId="77777777" w:rsidR="00EB748F" w:rsidRDefault="00EB748F" w:rsidP="006531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65316E" w14:paraId="3E54D992" w14:textId="77777777" w:rsidTr="009E2243">
        <w:trPr>
          <w:trHeight w:val="3797"/>
        </w:trPr>
        <w:tc>
          <w:tcPr>
            <w:tcW w:w="9350" w:type="dxa"/>
            <w:vAlign w:val="center"/>
          </w:tcPr>
          <w:p w14:paraId="5190E2AD" w14:textId="14FE540D" w:rsidR="0065316E" w:rsidRDefault="001D20B4" w:rsidP="00BB29EF">
            <w:pPr>
              <w:spacing w:after="0"/>
              <w:ind w:firstLine="0"/>
              <w:jc w:val="center"/>
            </w:pPr>
            <w:r>
              <w:rPr>
                <w:noProof/>
              </w:rPr>
              <w:drawing>
                <wp:inline distT="0" distB="0" distL="0" distR="0" wp14:anchorId="7BEB2267" wp14:editId="66E0CB59">
                  <wp:extent cx="3296045" cy="4456253"/>
                  <wp:effectExtent l="0" t="0" r="6350" b="1905"/>
                  <wp:docPr id="395671485" name="Picture 4" descr="A map of a meteor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1485" name="Picture 4" descr="A map of a meteorite&#10;&#10;Description automatically generated with medium confidence"/>
                          <pic:cNvPicPr/>
                        </pic:nvPicPr>
                        <pic:blipFill>
                          <a:blip r:embed="rId26"/>
                          <a:stretch>
                            <a:fillRect/>
                          </a:stretch>
                        </pic:blipFill>
                        <pic:spPr>
                          <a:xfrm>
                            <a:off x="0" y="0"/>
                            <a:ext cx="3303746" cy="4466665"/>
                          </a:xfrm>
                          <a:prstGeom prst="rect">
                            <a:avLst/>
                          </a:prstGeom>
                        </pic:spPr>
                      </pic:pic>
                    </a:graphicData>
                  </a:graphic>
                </wp:inline>
              </w:drawing>
            </w:r>
          </w:p>
        </w:tc>
      </w:tr>
    </w:tbl>
    <w:p w14:paraId="582B7DE5" w14:textId="77777777" w:rsidR="0065316E" w:rsidRDefault="0065316E" w:rsidP="0065316E">
      <w:pPr>
        <w:pStyle w:val="Caption"/>
      </w:pPr>
    </w:p>
    <w:p w14:paraId="17899B73" w14:textId="5781DA3F" w:rsidR="0065316E" w:rsidRDefault="0065316E" w:rsidP="0065316E">
      <w:pPr>
        <w:pStyle w:val="Caption"/>
      </w:pPr>
      <w:r w:rsidRPr="00006FF4">
        <w:rPr>
          <w:b/>
          <w:bCs/>
        </w:rPr>
        <w:t xml:space="preserve">Figure </w:t>
      </w:r>
      <w:r w:rsidR="008E472B" w:rsidRPr="00006FF4">
        <w:rPr>
          <w:b/>
          <w:bCs/>
        </w:rPr>
        <w:t>F3</w:t>
      </w:r>
      <w:r w:rsidRPr="00006FF4">
        <w:rPr>
          <w:b/>
          <w:bCs/>
        </w:rPr>
        <w:t>.</w:t>
      </w:r>
      <w:r w:rsidRPr="00BB7939">
        <w:t xml:space="preserve"> </w:t>
      </w:r>
      <w:r>
        <w:t xml:space="preserve">The spatial fields of amplification for the Example 3 </w:t>
      </w:r>
      <w:r w:rsidR="001D20B4">
        <w:t>(</w:t>
      </w:r>
      <w:r>
        <w:t>1906 SF earthquake</w:t>
      </w:r>
      <w:r w:rsidR="001D20B4">
        <w:t>)</w:t>
      </w:r>
      <w:r>
        <w:t xml:space="preserve"> rupture, T=7 sec.</w:t>
      </w:r>
    </w:p>
    <w:p w14:paraId="151D5BC7" w14:textId="7D17C5C1" w:rsidR="001A5843" w:rsidRDefault="001A5843">
      <w:pPr>
        <w:spacing w:after="0"/>
        <w:jc w:val="left"/>
      </w:pPr>
      <w:r>
        <w:br w:type="page"/>
      </w:r>
    </w:p>
    <w:p w14:paraId="6E90BF89" w14:textId="4BB9C25B" w:rsidR="001A5843" w:rsidRPr="002B1318" w:rsidRDefault="001A5843" w:rsidP="00006FF4">
      <w:pPr>
        <w:ind w:firstLine="0"/>
        <w:rPr>
          <w:b/>
          <w:bCs/>
        </w:rPr>
      </w:pPr>
      <w:r w:rsidRPr="002B1318">
        <w:rPr>
          <w:b/>
          <w:bCs/>
        </w:rPr>
        <w:lastRenderedPageBreak/>
        <w:t>Example 4</w:t>
      </w:r>
    </w:p>
    <w:p w14:paraId="551F0092" w14:textId="4D8EE48A" w:rsidR="00EB748F" w:rsidRDefault="00EB748F" w:rsidP="00EB748F">
      <w:r>
        <w:t xml:space="preserve">In this example, the model is applied to a hypothetical scenario earthquake. This strike-slip rupture is set up with two disconnected strands, each vertically dipping and with 22 km width. The first strand has strike of 0 degrees and 40 km length, with the hypocenter located 30 km from the southern end. The second has 45-degree strike and 28.28 km length. There is a gap of about 14 km between these strands, which is 9 km larger than the “maximum jump distance” allowed in the plausibility filters used to define UCERF3 ruptures (Field et al., 2013; Appendix T). This example demonstrates the flexibility of the model to accommodate ruptures with gaps between strands. Using the Leonard (2010) relationship for rupture area and magnitude, the scenario is prescribed </w:t>
      </w:r>
      <w:r>
        <w:rPr>
          <w:b/>
          <w:bCs/>
        </w:rPr>
        <w:t>M</w:t>
      </w:r>
      <w:r>
        <w:t xml:space="preserve">7.15. Figure </w:t>
      </w:r>
      <w:r w:rsidR="008E472B">
        <w:t>F</w:t>
      </w:r>
      <w:r>
        <w:t xml:space="preserve">4 shows the spatial field of Bea24 </w:t>
      </w:r>
      <w:r w:rsidR="00C30333">
        <w:t>(</w:t>
      </w:r>
      <w:r>
        <w:t>Model 1</w:t>
      </w:r>
      <w:r w:rsidR="00C30333">
        <w:t>)</w:t>
      </w:r>
      <w:r>
        <w:t xml:space="preserve"> median amplification (exponential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t>) at T=3 sec spectral period.</w:t>
      </w:r>
    </w:p>
    <w:p w14:paraId="1D698BC3" w14:textId="77777777" w:rsidR="001A5843" w:rsidRDefault="001A5843" w:rsidP="001A5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1A5843" w14:paraId="6CB8DE7F" w14:textId="77777777" w:rsidTr="009E2243">
        <w:trPr>
          <w:trHeight w:val="3797"/>
        </w:trPr>
        <w:tc>
          <w:tcPr>
            <w:tcW w:w="9350" w:type="dxa"/>
            <w:vAlign w:val="center"/>
          </w:tcPr>
          <w:p w14:paraId="752377D3" w14:textId="103CA7A4" w:rsidR="001A5843" w:rsidRDefault="00EB748F" w:rsidP="00BB29EF">
            <w:pPr>
              <w:spacing w:after="0"/>
              <w:ind w:firstLine="0"/>
              <w:jc w:val="center"/>
            </w:pPr>
            <w:r>
              <w:rPr>
                <w:noProof/>
              </w:rPr>
              <w:drawing>
                <wp:inline distT="0" distB="0" distL="0" distR="0" wp14:anchorId="01F7FF05" wp14:editId="00C9BA13">
                  <wp:extent cx="3435996" cy="3739984"/>
                  <wp:effectExtent l="0" t="0" r="5715" b="0"/>
                  <wp:docPr id="1076992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92215" name="Picture 7"/>
                          <pic:cNvPicPr/>
                        </pic:nvPicPr>
                        <pic:blipFill>
                          <a:blip r:embed="rId27"/>
                          <a:stretch>
                            <a:fillRect/>
                          </a:stretch>
                        </pic:blipFill>
                        <pic:spPr>
                          <a:xfrm>
                            <a:off x="0" y="0"/>
                            <a:ext cx="3435996" cy="3739984"/>
                          </a:xfrm>
                          <a:prstGeom prst="rect">
                            <a:avLst/>
                          </a:prstGeom>
                        </pic:spPr>
                      </pic:pic>
                    </a:graphicData>
                  </a:graphic>
                </wp:inline>
              </w:drawing>
            </w:r>
          </w:p>
        </w:tc>
      </w:tr>
    </w:tbl>
    <w:p w14:paraId="0B3CB04A" w14:textId="77777777" w:rsidR="001A5843" w:rsidRDefault="001A5843" w:rsidP="001A5843">
      <w:pPr>
        <w:pStyle w:val="Caption"/>
      </w:pPr>
    </w:p>
    <w:p w14:paraId="51276B78" w14:textId="1A7DF384" w:rsidR="00EB748F" w:rsidRDefault="00EB748F" w:rsidP="00EB748F">
      <w:pPr>
        <w:pStyle w:val="Caption"/>
      </w:pPr>
      <w:r w:rsidRPr="00006FF4">
        <w:rPr>
          <w:b/>
          <w:bCs/>
        </w:rPr>
        <w:t xml:space="preserve">Figure </w:t>
      </w:r>
      <w:r w:rsidR="008E472B" w:rsidRPr="00006FF4">
        <w:rPr>
          <w:b/>
          <w:bCs/>
        </w:rPr>
        <w:t>F4</w:t>
      </w:r>
      <w:r w:rsidRPr="00006FF4">
        <w:rPr>
          <w:b/>
          <w:bCs/>
        </w:rPr>
        <w:t>.</w:t>
      </w:r>
      <w:r w:rsidRPr="00BB7939">
        <w:t xml:space="preserve"> </w:t>
      </w:r>
      <w:r>
        <w:t>The spatial fields of amplification for the Example 4 rupture, T=3 sec.</w:t>
      </w:r>
    </w:p>
    <w:p w14:paraId="2BFCEA28" w14:textId="77777777" w:rsidR="00006FF4" w:rsidRDefault="00006FF4" w:rsidP="00006FF4">
      <w:pPr>
        <w:ind w:firstLine="0"/>
        <w:rPr>
          <w:u w:val="single"/>
        </w:rPr>
      </w:pPr>
    </w:p>
    <w:p w14:paraId="3AF8F389" w14:textId="77777777" w:rsidR="002B1318" w:rsidRDefault="002B1318" w:rsidP="00006FF4">
      <w:pPr>
        <w:ind w:firstLine="0"/>
        <w:rPr>
          <w:u w:val="single"/>
        </w:rPr>
      </w:pPr>
    </w:p>
    <w:p w14:paraId="45802679" w14:textId="77777777" w:rsidR="00BB29EF" w:rsidRDefault="00BB29EF" w:rsidP="00006FF4">
      <w:pPr>
        <w:ind w:firstLine="0"/>
        <w:rPr>
          <w:b/>
          <w:bCs/>
        </w:rPr>
      </w:pPr>
    </w:p>
    <w:p w14:paraId="3AA5D023" w14:textId="0984C4D7" w:rsidR="0065316E" w:rsidRPr="002B1318" w:rsidRDefault="0065316E" w:rsidP="00006FF4">
      <w:pPr>
        <w:ind w:firstLine="0"/>
        <w:rPr>
          <w:b/>
          <w:bCs/>
        </w:rPr>
      </w:pPr>
      <w:r w:rsidRPr="002B1318">
        <w:rPr>
          <w:b/>
          <w:bCs/>
        </w:rPr>
        <w:lastRenderedPageBreak/>
        <w:t xml:space="preserve">Example </w:t>
      </w:r>
      <w:r w:rsidR="001A5843" w:rsidRPr="002B1318">
        <w:rPr>
          <w:b/>
          <w:bCs/>
        </w:rPr>
        <w:t>5</w:t>
      </w:r>
    </w:p>
    <w:p w14:paraId="062EA0FE" w14:textId="551788B1" w:rsidR="0065316E" w:rsidRDefault="0065316E" w:rsidP="0065316E">
      <w:r>
        <w:t xml:space="preserve">Figure </w:t>
      </w:r>
      <w:r w:rsidR="008E472B">
        <w:t>F</w:t>
      </w:r>
      <w:r w:rsidR="001A5843">
        <w:t>5</w:t>
      </w:r>
      <w:r>
        <w:t xml:space="preserve"> shows </w:t>
      </w:r>
      <w:r w:rsidR="00A3760E">
        <w:t xml:space="preserve">Bea24 </w:t>
      </w:r>
      <w:r w:rsidR="00C30333">
        <w:t>(</w:t>
      </w:r>
      <w:r w:rsidR="00A3760E">
        <w:t>Model 1</w:t>
      </w:r>
      <w:r w:rsidR="00C30333">
        <w:t>)</w:t>
      </w:r>
      <w:r w:rsidR="00A3760E">
        <w:t xml:space="preserve"> median </w:t>
      </w:r>
      <w:r>
        <w:t>amplification maps for four vertical strike-slip scenarios, each north-south striking, and with hypocenter placed at the center of the rupture plane. The maps are shown at the spectral period corresponding to the scenario peak amplification (</w:t>
      </w:r>
      <m:oMath>
        <m:sSub>
          <m:sSubPr>
            <m:ctrlPr>
              <w:rPr>
                <w:rFonts w:ascii="Cambria Math" w:hAnsi="Cambria Math"/>
                <w:i/>
              </w:rPr>
            </m:ctrlPr>
          </m:sSubPr>
          <m:e>
            <m:r>
              <m:rPr>
                <m:nor/>
              </m:rPr>
              <w:rPr>
                <w:rFonts w:cstheme="minorHAnsi"/>
              </w:rPr>
              <m:t>T</m:t>
            </m:r>
          </m:e>
          <m:sub>
            <m:r>
              <w:rPr>
                <w:rFonts w:ascii="Cambria Math" w:hAnsi="Cambria Math"/>
              </w:rPr>
              <m:t>peak</m:t>
            </m:r>
          </m:sub>
        </m:sSub>
      </m:oMath>
      <w:r>
        <w:t xml:space="preserve">). The parameters used to define these scenarios are listed in Table </w:t>
      </w:r>
      <w:r w:rsidR="008E472B">
        <w:t>F</w:t>
      </w:r>
      <w:r>
        <w:t xml:space="preserve">1. With increasing magnitude, </w:t>
      </w:r>
      <m:oMath>
        <m:sSub>
          <m:sSubPr>
            <m:ctrlPr>
              <w:rPr>
                <w:rFonts w:ascii="Cambria Math" w:hAnsi="Cambria Math"/>
                <w:i/>
              </w:rPr>
            </m:ctrlPr>
          </m:sSubPr>
          <m:e>
            <m:r>
              <m:rPr>
                <m:nor/>
              </m:rPr>
              <w:rPr>
                <w:rFonts w:cstheme="minorHAnsi"/>
              </w:rPr>
              <m:t>T</m:t>
            </m:r>
          </m:e>
          <m:sub>
            <m:r>
              <w:rPr>
                <w:rFonts w:ascii="Cambria Math" w:hAnsi="Cambria Math"/>
              </w:rPr>
              <m:t>peak</m:t>
            </m:r>
          </m:sub>
        </m:sSub>
      </m:oMath>
      <w:r>
        <w:rPr>
          <w:rFonts w:eastAsiaTheme="minorEastAsia"/>
        </w:rPr>
        <w:t xml:space="preserve"> and the maximum distance in the distance taper also increase.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65316E" w14:paraId="2B39DA94" w14:textId="77777777" w:rsidTr="009E2243">
        <w:trPr>
          <w:trHeight w:val="3797"/>
        </w:trPr>
        <w:tc>
          <w:tcPr>
            <w:tcW w:w="9350" w:type="dxa"/>
            <w:vAlign w:val="center"/>
          </w:tcPr>
          <w:p w14:paraId="45E2DCB5" w14:textId="763A4098" w:rsidR="0065316E" w:rsidRDefault="0065316E" w:rsidP="00BB29EF">
            <w:pPr>
              <w:spacing w:after="0"/>
              <w:ind w:firstLine="0"/>
              <w:jc w:val="center"/>
            </w:pPr>
            <w:r>
              <w:rPr>
                <w:noProof/>
              </w:rPr>
              <w:drawing>
                <wp:inline distT="0" distB="0" distL="0" distR="0" wp14:anchorId="33CCEE19" wp14:editId="22BDFAB6">
                  <wp:extent cx="4991606" cy="5039833"/>
                  <wp:effectExtent l="0" t="0" r="0" b="2540"/>
                  <wp:docPr id="791826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26205" name="Picture 3"/>
                          <pic:cNvPicPr/>
                        </pic:nvPicPr>
                        <pic:blipFill>
                          <a:blip r:embed="rId28"/>
                          <a:stretch>
                            <a:fillRect/>
                          </a:stretch>
                        </pic:blipFill>
                        <pic:spPr>
                          <a:xfrm>
                            <a:off x="0" y="0"/>
                            <a:ext cx="5001742" cy="5050067"/>
                          </a:xfrm>
                          <a:prstGeom prst="rect">
                            <a:avLst/>
                          </a:prstGeom>
                        </pic:spPr>
                      </pic:pic>
                    </a:graphicData>
                  </a:graphic>
                </wp:inline>
              </w:drawing>
            </w:r>
          </w:p>
        </w:tc>
      </w:tr>
    </w:tbl>
    <w:p w14:paraId="062B7886" w14:textId="46AA267E" w:rsidR="00BB29EF" w:rsidRDefault="0065316E" w:rsidP="00BB29EF">
      <w:pPr>
        <w:pStyle w:val="Caption"/>
      </w:pPr>
      <w:r w:rsidRPr="00006FF4">
        <w:rPr>
          <w:b/>
          <w:bCs/>
        </w:rPr>
        <w:t xml:space="preserve">Figure </w:t>
      </w:r>
      <w:r w:rsidR="008E472B" w:rsidRPr="00006FF4">
        <w:rPr>
          <w:b/>
          <w:bCs/>
        </w:rPr>
        <w:t>F5</w:t>
      </w:r>
      <w:r w:rsidRPr="00006FF4">
        <w:rPr>
          <w:b/>
          <w:bCs/>
        </w:rPr>
        <w:t>.</w:t>
      </w:r>
      <w:r w:rsidRPr="00BB7939">
        <w:t xml:space="preserve"> </w:t>
      </w:r>
      <w:r>
        <w:t>The mapped median directivity adjustment (amplification) for the four strike-slip scenarios described in the text.</w:t>
      </w:r>
    </w:p>
    <w:p w14:paraId="3200E839" w14:textId="77777777" w:rsidR="00BB29EF" w:rsidRDefault="00BB29EF" w:rsidP="00BB29EF"/>
    <w:p w14:paraId="48EB15D0" w14:textId="77777777" w:rsidR="00BB29EF" w:rsidRDefault="00BB29EF" w:rsidP="00BB29EF"/>
    <w:p w14:paraId="67E64D42" w14:textId="77777777" w:rsidR="00BB29EF" w:rsidRPr="00BB29EF" w:rsidRDefault="00BB29EF" w:rsidP="00BB29EF"/>
    <w:p w14:paraId="497AD6C4" w14:textId="0F045E25" w:rsidR="0065316E" w:rsidRDefault="0065316E" w:rsidP="0065316E">
      <w:pPr>
        <w:pStyle w:val="Caption"/>
        <w:keepNext/>
      </w:pPr>
      <w:r w:rsidRPr="00006FF4">
        <w:rPr>
          <w:b/>
          <w:bCs/>
        </w:rPr>
        <w:lastRenderedPageBreak/>
        <w:t xml:space="preserve">Table </w:t>
      </w:r>
      <w:r w:rsidR="008E472B" w:rsidRPr="00006FF4">
        <w:rPr>
          <w:b/>
          <w:bCs/>
        </w:rPr>
        <w:t>F</w:t>
      </w:r>
      <w:r w:rsidR="00006FF4" w:rsidRPr="00006FF4">
        <w:rPr>
          <w:b/>
          <w:bCs/>
        </w:rPr>
        <w:t>1</w:t>
      </w:r>
      <w:r w:rsidRPr="00006FF4">
        <w:rPr>
          <w:b/>
          <w:bCs/>
        </w:rPr>
        <w:t>.</w:t>
      </w:r>
      <w:r>
        <w:t xml:space="preserve"> Parameters of the scenarios used to illustrate the model behavior with magnitude.</w:t>
      </w:r>
    </w:p>
    <w:tbl>
      <w:tblPr>
        <w:tblStyle w:val="GridTable1Light"/>
        <w:tblW w:w="8174" w:type="dxa"/>
        <w:jc w:val="center"/>
        <w:tblLayout w:type="fixed"/>
        <w:tblLook w:val="04A0" w:firstRow="1" w:lastRow="0" w:firstColumn="1" w:lastColumn="0" w:noHBand="0" w:noVBand="1"/>
      </w:tblPr>
      <w:tblGrid>
        <w:gridCol w:w="1622"/>
        <w:gridCol w:w="1638"/>
        <w:gridCol w:w="1638"/>
        <w:gridCol w:w="1638"/>
        <w:gridCol w:w="1638"/>
      </w:tblGrid>
      <w:tr w:rsidR="0065316E" w:rsidRPr="0028210E" w14:paraId="5710755A" w14:textId="77777777" w:rsidTr="009E224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88DFA1E" w14:textId="012CD2F7" w:rsidR="0065316E" w:rsidRPr="0028210E" w:rsidRDefault="0065316E" w:rsidP="00BB29EF">
            <w:pPr>
              <w:spacing w:after="0"/>
              <w:ind w:firstLine="0"/>
              <w:jc w:val="center"/>
              <w:rPr>
                <w:sz w:val="20"/>
                <w:szCs w:val="20"/>
              </w:rPr>
            </w:pPr>
            <w:r>
              <w:rPr>
                <w:sz w:val="20"/>
                <w:szCs w:val="20"/>
              </w:rPr>
              <w:t>Number</w:t>
            </w:r>
          </w:p>
        </w:tc>
        <w:tc>
          <w:tcPr>
            <w:tcW w:w="1638" w:type="dxa"/>
            <w:vAlign w:val="center"/>
          </w:tcPr>
          <w:p w14:paraId="2A04B7B5" w14:textId="2FA60F38" w:rsidR="0065316E" w:rsidRDefault="0065316E" w:rsidP="00BB29EF">
            <w:pPr>
              <w:spacing w:after="0"/>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w:t>
            </w:r>
          </w:p>
        </w:tc>
        <w:tc>
          <w:tcPr>
            <w:tcW w:w="1638" w:type="dxa"/>
            <w:vAlign w:val="center"/>
          </w:tcPr>
          <w:p w14:paraId="12085AF8" w14:textId="10A2B61E" w:rsidR="0065316E" w:rsidRDefault="0065316E" w:rsidP="00BB29EF">
            <w:pPr>
              <w:spacing w:after="0"/>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Length (km)</w:t>
            </w:r>
          </w:p>
        </w:tc>
        <w:tc>
          <w:tcPr>
            <w:tcW w:w="1638" w:type="dxa"/>
            <w:vAlign w:val="center"/>
          </w:tcPr>
          <w:p w14:paraId="0E2A9908" w14:textId="7AA584DC" w:rsidR="0065316E" w:rsidRPr="0028210E" w:rsidRDefault="0065316E" w:rsidP="00BB29EF">
            <w:pPr>
              <w:spacing w:after="0"/>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Width (km)</w:t>
            </w:r>
          </w:p>
        </w:tc>
        <w:tc>
          <w:tcPr>
            <w:tcW w:w="1638" w:type="dxa"/>
            <w:vAlign w:val="center"/>
          </w:tcPr>
          <w:p w14:paraId="3942E9CF" w14:textId="46178F4D" w:rsidR="0065316E" w:rsidRPr="0028210E" w:rsidRDefault="00000000" w:rsidP="00BB29EF">
            <w:pPr>
              <w:spacing w:after="0"/>
              <w:ind w:firstLine="0"/>
              <w:jc w:val="center"/>
              <w:cnfStyle w:val="100000000000" w:firstRow="1" w:lastRow="0" w:firstColumn="0" w:lastColumn="0" w:oddVBand="0" w:evenVBand="0" w:oddHBand="0" w:evenHBand="0" w:firstRowFirstColumn="0" w:firstRowLastColumn="0" w:lastRowFirstColumn="0" w:lastRowLastColumn="0"/>
              <w:rPr>
                <w:sz w:val="20"/>
                <w:szCs w:val="20"/>
              </w:rPr>
            </w:pPr>
            <m:oMath>
              <m:sSub>
                <m:sSubPr>
                  <m:ctrlPr>
                    <w:rPr>
                      <w:rFonts w:ascii="Cambria Math" w:hAnsi="Cambria Math"/>
                      <w:b w:val="0"/>
                      <w:bCs w:val="0"/>
                      <w:i/>
                      <w:sz w:val="20"/>
                      <w:szCs w:val="20"/>
                    </w:rPr>
                  </m:ctrlPr>
                </m:sSubPr>
                <m:e>
                  <m:r>
                    <m:rPr>
                      <m:nor/>
                    </m:rPr>
                    <w:rPr>
                      <w:rFonts w:cstheme="minorHAnsi"/>
                      <w:b w:val="0"/>
                      <w:bCs w:val="0"/>
                      <w:sz w:val="20"/>
                      <w:szCs w:val="20"/>
                    </w:rPr>
                    <m:t>T</m:t>
                  </m:r>
                </m:e>
                <m:sub>
                  <m:r>
                    <m:rPr>
                      <m:sty m:val="bi"/>
                    </m:rPr>
                    <w:rPr>
                      <w:rFonts w:ascii="Cambria Math" w:hAnsi="Cambria Math"/>
                      <w:sz w:val="20"/>
                      <w:szCs w:val="20"/>
                    </w:rPr>
                    <m:t>peak</m:t>
                  </m:r>
                </m:sub>
              </m:sSub>
            </m:oMath>
            <w:r w:rsidR="0065316E">
              <w:rPr>
                <w:rFonts w:eastAsiaTheme="minorEastAsia"/>
                <w:b w:val="0"/>
                <w:bCs w:val="0"/>
                <w:sz w:val="20"/>
                <w:szCs w:val="20"/>
              </w:rPr>
              <w:t xml:space="preserve"> (sec)</w:t>
            </w:r>
          </w:p>
        </w:tc>
      </w:tr>
      <w:tr w:rsidR="0065316E" w:rsidRPr="0028210E" w14:paraId="7BBFA03A" w14:textId="77777777" w:rsidTr="009E2243">
        <w:trPr>
          <w:trHeight w:val="20"/>
          <w:jc w:val="center"/>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40D4886" w14:textId="10E16A39" w:rsidR="0065316E" w:rsidRDefault="0065316E" w:rsidP="00BB29EF">
            <w:pPr>
              <w:spacing w:after="0"/>
              <w:ind w:firstLine="0"/>
              <w:jc w:val="center"/>
              <w:rPr>
                <w:rFonts w:ascii="Arial" w:hAnsi="Arial"/>
                <w:sz w:val="20"/>
                <w:szCs w:val="20"/>
              </w:rPr>
            </w:pPr>
            <w:r>
              <w:rPr>
                <w:b w:val="0"/>
                <w:bCs w:val="0"/>
                <w:sz w:val="20"/>
                <w:szCs w:val="20"/>
              </w:rPr>
              <w:t>Strike-slip 1</w:t>
            </w:r>
          </w:p>
        </w:tc>
        <w:tc>
          <w:tcPr>
            <w:tcW w:w="1638" w:type="dxa"/>
            <w:vAlign w:val="center"/>
          </w:tcPr>
          <w:p w14:paraId="2CA3F4CD" w14:textId="27827AB4" w:rsidR="0065316E" w:rsidRPr="00A3760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3760E">
              <w:rPr>
                <w:sz w:val="20"/>
                <w:szCs w:val="20"/>
              </w:rPr>
              <w:t>6.0</w:t>
            </w:r>
          </w:p>
        </w:tc>
        <w:tc>
          <w:tcPr>
            <w:tcW w:w="1638" w:type="dxa"/>
            <w:vAlign w:val="center"/>
          </w:tcPr>
          <w:p w14:paraId="28F33830" w14:textId="549EC003" w:rsidR="0065316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12.6</w:t>
            </w:r>
          </w:p>
        </w:tc>
        <w:tc>
          <w:tcPr>
            <w:tcW w:w="1638" w:type="dxa"/>
            <w:vAlign w:val="center"/>
          </w:tcPr>
          <w:p w14:paraId="15BF4981" w14:textId="50AE4A39" w:rsidR="0065316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8.12</w:t>
            </w:r>
          </w:p>
        </w:tc>
        <w:tc>
          <w:tcPr>
            <w:tcW w:w="1638" w:type="dxa"/>
            <w:vAlign w:val="center"/>
          </w:tcPr>
          <w:p w14:paraId="667398F3" w14:textId="0A6C33C9" w:rsidR="0065316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1.9</w:t>
            </w:r>
          </w:p>
        </w:tc>
      </w:tr>
      <w:tr w:rsidR="0065316E" w:rsidRPr="0028210E" w14:paraId="3D0B3C8A" w14:textId="77777777" w:rsidTr="009E2243">
        <w:trPr>
          <w:trHeight w:val="20"/>
          <w:jc w:val="center"/>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D72DEA7" w14:textId="486BEA90" w:rsidR="0065316E" w:rsidRPr="00DA5346" w:rsidRDefault="0065316E" w:rsidP="00BB29EF">
            <w:pPr>
              <w:spacing w:after="0"/>
              <w:ind w:firstLine="0"/>
              <w:jc w:val="center"/>
              <w:rPr>
                <w:b w:val="0"/>
                <w:bCs w:val="0"/>
                <w:sz w:val="20"/>
                <w:szCs w:val="20"/>
              </w:rPr>
            </w:pPr>
            <w:r>
              <w:rPr>
                <w:b w:val="0"/>
                <w:bCs w:val="0"/>
                <w:sz w:val="20"/>
                <w:szCs w:val="20"/>
              </w:rPr>
              <w:t>Strike-slip 2</w:t>
            </w:r>
          </w:p>
        </w:tc>
        <w:tc>
          <w:tcPr>
            <w:tcW w:w="1638" w:type="dxa"/>
            <w:vAlign w:val="center"/>
          </w:tcPr>
          <w:p w14:paraId="5FE2D99C" w14:textId="3E359EB5" w:rsidR="0065316E" w:rsidRPr="00A3760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3760E">
              <w:rPr>
                <w:sz w:val="20"/>
                <w:szCs w:val="20"/>
              </w:rPr>
              <w:t>6.5</w:t>
            </w:r>
          </w:p>
        </w:tc>
        <w:tc>
          <w:tcPr>
            <w:tcW w:w="1638" w:type="dxa"/>
            <w:vAlign w:val="center"/>
          </w:tcPr>
          <w:p w14:paraId="1CC31D3A" w14:textId="39FE0ACC" w:rsidR="0065316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25.1</w:t>
            </w:r>
          </w:p>
        </w:tc>
        <w:tc>
          <w:tcPr>
            <w:tcW w:w="1638" w:type="dxa"/>
            <w:vAlign w:val="center"/>
          </w:tcPr>
          <w:p w14:paraId="2AD48828" w14:textId="01D6F1C2" w:rsidR="0065316E" w:rsidRPr="005D2CA0"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12.8</w:t>
            </w:r>
          </w:p>
        </w:tc>
        <w:tc>
          <w:tcPr>
            <w:tcW w:w="1638" w:type="dxa"/>
            <w:vAlign w:val="center"/>
          </w:tcPr>
          <w:p w14:paraId="3678380E" w14:textId="42587AA2" w:rsidR="0065316E" w:rsidRPr="005D2CA0"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3.0</w:t>
            </w:r>
          </w:p>
        </w:tc>
      </w:tr>
      <w:tr w:rsidR="0065316E" w:rsidRPr="0028210E" w14:paraId="15332E4A" w14:textId="77777777" w:rsidTr="009E2243">
        <w:trPr>
          <w:trHeight w:val="20"/>
          <w:jc w:val="center"/>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731E5099" w14:textId="31DE8809" w:rsidR="0065316E" w:rsidRPr="00DA5346" w:rsidRDefault="0065316E" w:rsidP="00BB29EF">
            <w:pPr>
              <w:spacing w:after="0"/>
              <w:ind w:firstLine="0"/>
              <w:jc w:val="center"/>
              <w:rPr>
                <w:b w:val="0"/>
                <w:bCs w:val="0"/>
                <w:sz w:val="20"/>
                <w:szCs w:val="20"/>
              </w:rPr>
            </w:pPr>
            <w:r>
              <w:rPr>
                <w:b w:val="0"/>
                <w:bCs w:val="0"/>
                <w:sz w:val="20"/>
                <w:szCs w:val="20"/>
              </w:rPr>
              <w:t>Strike-slip 3</w:t>
            </w:r>
          </w:p>
        </w:tc>
        <w:tc>
          <w:tcPr>
            <w:tcW w:w="1638" w:type="dxa"/>
            <w:vAlign w:val="center"/>
          </w:tcPr>
          <w:p w14:paraId="638223B8" w14:textId="411586E1" w:rsidR="0065316E" w:rsidRPr="00A3760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3760E">
              <w:rPr>
                <w:sz w:val="20"/>
                <w:szCs w:val="20"/>
              </w:rPr>
              <w:t>7.0</w:t>
            </w:r>
          </w:p>
        </w:tc>
        <w:tc>
          <w:tcPr>
            <w:tcW w:w="1638" w:type="dxa"/>
            <w:vAlign w:val="center"/>
          </w:tcPr>
          <w:p w14:paraId="12A13645" w14:textId="71E435C2" w:rsidR="0065316E"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50.2</w:t>
            </w:r>
          </w:p>
        </w:tc>
        <w:tc>
          <w:tcPr>
            <w:tcW w:w="1638" w:type="dxa"/>
            <w:vAlign w:val="center"/>
          </w:tcPr>
          <w:p w14:paraId="6D06EEF2" w14:textId="2A5E8C7A" w:rsidR="0065316E" w:rsidRPr="005D2CA0" w:rsidRDefault="0065316E"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20.4</w:t>
            </w:r>
          </w:p>
        </w:tc>
        <w:tc>
          <w:tcPr>
            <w:tcW w:w="1638" w:type="dxa"/>
            <w:vAlign w:val="center"/>
          </w:tcPr>
          <w:p w14:paraId="3E09B360" w14:textId="625AA333" w:rsidR="0065316E" w:rsidRPr="005D2CA0" w:rsidRDefault="00BB29EF" w:rsidP="00BB29EF">
            <w:pPr>
              <w:spacing w:after="0"/>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4.7</w:t>
            </w:r>
          </w:p>
        </w:tc>
      </w:tr>
      <w:tr w:rsidR="0065316E" w:rsidRPr="0028210E" w14:paraId="221C9C92" w14:textId="77777777" w:rsidTr="009E2243">
        <w:trPr>
          <w:trHeight w:val="20"/>
          <w:jc w:val="center"/>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7837A23" w14:textId="41AC00D6" w:rsidR="0065316E" w:rsidRPr="00DA5346" w:rsidRDefault="0065316E" w:rsidP="00BB29EF">
            <w:pPr>
              <w:spacing w:after="0" w:line="240" w:lineRule="auto"/>
              <w:ind w:firstLine="0"/>
              <w:jc w:val="center"/>
              <w:rPr>
                <w:b w:val="0"/>
                <w:bCs w:val="0"/>
                <w:sz w:val="20"/>
                <w:szCs w:val="20"/>
              </w:rPr>
            </w:pPr>
            <w:r>
              <w:rPr>
                <w:b w:val="0"/>
                <w:bCs w:val="0"/>
                <w:sz w:val="20"/>
                <w:szCs w:val="20"/>
              </w:rPr>
              <w:t>Strike-slip 4</w:t>
            </w:r>
          </w:p>
        </w:tc>
        <w:tc>
          <w:tcPr>
            <w:tcW w:w="1638" w:type="dxa"/>
            <w:vAlign w:val="center"/>
          </w:tcPr>
          <w:p w14:paraId="4C795929" w14:textId="7EA8D686" w:rsidR="0065316E" w:rsidRPr="00A3760E" w:rsidRDefault="0065316E" w:rsidP="00BB29E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3760E">
              <w:rPr>
                <w:sz w:val="20"/>
                <w:szCs w:val="20"/>
              </w:rPr>
              <w:t>8.0</w:t>
            </w:r>
          </w:p>
        </w:tc>
        <w:tc>
          <w:tcPr>
            <w:tcW w:w="1638" w:type="dxa"/>
            <w:vAlign w:val="center"/>
          </w:tcPr>
          <w:p w14:paraId="665E584D" w14:textId="2E3AC925" w:rsidR="0065316E" w:rsidRDefault="0065316E" w:rsidP="00BB29E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465.0</w:t>
            </w:r>
          </w:p>
        </w:tc>
        <w:tc>
          <w:tcPr>
            <w:tcW w:w="1638" w:type="dxa"/>
            <w:vAlign w:val="center"/>
          </w:tcPr>
          <w:p w14:paraId="39F185D4" w14:textId="50941467" w:rsidR="0065316E" w:rsidRPr="005D2CA0" w:rsidRDefault="0065316E" w:rsidP="00BB29E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22.0</w:t>
            </w:r>
          </w:p>
        </w:tc>
        <w:tc>
          <w:tcPr>
            <w:tcW w:w="1638" w:type="dxa"/>
            <w:vAlign w:val="center"/>
          </w:tcPr>
          <w:p w14:paraId="01A7EC30" w14:textId="69D02A25" w:rsidR="00BB29EF" w:rsidRPr="005D2CA0" w:rsidRDefault="0065316E" w:rsidP="00BB29E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w:t>
            </w:r>
            <w:r w:rsidR="00BB29EF">
              <w:rPr>
                <w:rFonts w:cstheme="minorHAnsi"/>
                <w:color w:val="000000"/>
                <w:sz w:val="20"/>
                <w:szCs w:val="20"/>
              </w:rPr>
              <w:t>2</w:t>
            </w:r>
            <w:r>
              <w:rPr>
                <w:rFonts w:cstheme="minorHAnsi"/>
                <w:color w:val="000000"/>
                <w:sz w:val="20"/>
                <w:szCs w:val="20"/>
              </w:rPr>
              <w:t>.0</w:t>
            </w:r>
            <w:r w:rsidR="00BB29EF">
              <w:rPr>
                <w:rFonts w:cstheme="minorHAnsi"/>
                <w:color w:val="000000"/>
                <w:sz w:val="20"/>
                <w:szCs w:val="20"/>
              </w:rPr>
              <w:br/>
              <w:t>(10.0 sec shown)</w:t>
            </w:r>
          </w:p>
        </w:tc>
      </w:tr>
    </w:tbl>
    <w:p w14:paraId="001EDA35" w14:textId="77777777" w:rsidR="0065316E" w:rsidRDefault="0065316E" w:rsidP="0065316E"/>
    <w:p w14:paraId="41C518F5" w14:textId="77777777" w:rsidR="00E60AAB" w:rsidRDefault="00E60AAB">
      <w:pPr>
        <w:spacing w:after="0"/>
        <w:jc w:val="left"/>
      </w:pPr>
      <w:r>
        <w:br w:type="page"/>
      </w:r>
    </w:p>
    <w:p w14:paraId="415B456F" w14:textId="7BFAB259" w:rsidR="00E60AAB" w:rsidRPr="002B1318" w:rsidRDefault="00E60AAB" w:rsidP="00006FF4">
      <w:pPr>
        <w:ind w:firstLine="0"/>
        <w:rPr>
          <w:b/>
          <w:bCs/>
        </w:rPr>
      </w:pPr>
      <w:r w:rsidRPr="002B1318">
        <w:rPr>
          <w:b/>
          <w:bCs/>
        </w:rPr>
        <w:lastRenderedPageBreak/>
        <w:t>Example 6</w:t>
      </w:r>
    </w:p>
    <w:p w14:paraId="65838DFC" w14:textId="2FE0DE24" w:rsidR="00E60AAB" w:rsidRDefault="00E60AAB" w:rsidP="00E60AAB">
      <w:r>
        <w:t xml:space="preserve">Figure </w:t>
      </w:r>
      <w:r w:rsidR="008E472B">
        <w:t>F</w:t>
      </w:r>
      <w:r w:rsidR="00C30333">
        <w:t>6</w:t>
      </w:r>
      <w:r>
        <w:t xml:space="preserve"> shows T=3 sec Bea24 </w:t>
      </w:r>
      <w:r w:rsidR="00C30333">
        <w:t>(</w:t>
      </w:r>
      <w:r>
        <w:t>Model 1</w:t>
      </w:r>
      <w:r w:rsidR="00C30333">
        <w:t>)</w:t>
      </w:r>
      <w:r>
        <w:t xml:space="preserve"> median amplification maps for four vertical strike-slip scenarios, each north-south striking and with hypocenters placed at the center of the rupture plane, with increasing </w:t>
      </w:r>
      <m:oMath>
        <m:r>
          <w:rPr>
            <w:rFonts w:ascii="Cambria Math" w:eastAsiaTheme="minorEastAsia" w:hAnsi="Cambria Math"/>
          </w:rPr>
          <m:t>Ztor</m:t>
        </m:r>
      </m:oMath>
      <w:r>
        <w:t xml:space="preserve"> (0, 5, 10, and 15 km).</w:t>
      </w:r>
    </w:p>
    <w:p w14:paraId="02EAF483" w14:textId="77777777" w:rsidR="00E60AAB" w:rsidRDefault="00E60AAB" w:rsidP="00E60A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E60AAB" w14:paraId="0DED3FA8" w14:textId="77777777" w:rsidTr="009E2243">
        <w:trPr>
          <w:trHeight w:val="3797"/>
        </w:trPr>
        <w:tc>
          <w:tcPr>
            <w:tcW w:w="9350" w:type="dxa"/>
            <w:vAlign w:val="center"/>
          </w:tcPr>
          <w:p w14:paraId="0AB2F1A7" w14:textId="03F3836F" w:rsidR="00E60AAB" w:rsidRDefault="00E60AAB" w:rsidP="00BB29EF">
            <w:pPr>
              <w:spacing w:after="0"/>
              <w:ind w:firstLine="0"/>
              <w:jc w:val="center"/>
            </w:pPr>
            <w:r>
              <w:rPr>
                <w:noProof/>
              </w:rPr>
              <w:drawing>
                <wp:inline distT="0" distB="0" distL="0" distR="0" wp14:anchorId="3005F50B" wp14:editId="1DDC44A1">
                  <wp:extent cx="5676483" cy="5544274"/>
                  <wp:effectExtent l="0" t="0" r="635" b="5715"/>
                  <wp:docPr id="1141371908" name="Picture 9" descr="A group of images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71908" name="Picture 9" descr="A group of images of different colors&#10;&#10;Description automatically generated with medium confidence"/>
                          <pic:cNvPicPr/>
                        </pic:nvPicPr>
                        <pic:blipFill>
                          <a:blip r:embed="rId29"/>
                          <a:stretch>
                            <a:fillRect/>
                          </a:stretch>
                        </pic:blipFill>
                        <pic:spPr>
                          <a:xfrm>
                            <a:off x="0" y="0"/>
                            <a:ext cx="5679253" cy="5546980"/>
                          </a:xfrm>
                          <a:prstGeom prst="rect">
                            <a:avLst/>
                          </a:prstGeom>
                        </pic:spPr>
                      </pic:pic>
                    </a:graphicData>
                  </a:graphic>
                </wp:inline>
              </w:drawing>
            </w:r>
          </w:p>
        </w:tc>
      </w:tr>
    </w:tbl>
    <w:p w14:paraId="61AFCC0A" w14:textId="77777777" w:rsidR="00E60AAB" w:rsidRDefault="00E60AAB" w:rsidP="00E60AAB">
      <w:pPr>
        <w:pStyle w:val="Caption"/>
      </w:pPr>
    </w:p>
    <w:p w14:paraId="3033792F" w14:textId="7CFCBDA0" w:rsidR="00E60AAB" w:rsidRDefault="00E60AAB" w:rsidP="00E60AAB">
      <w:pPr>
        <w:pStyle w:val="Caption"/>
      </w:pPr>
      <w:r w:rsidRPr="00006FF4">
        <w:rPr>
          <w:b/>
          <w:bCs/>
        </w:rPr>
        <w:t xml:space="preserve">Figure </w:t>
      </w:r>
      <w:r w:rsidR="00006FF4" w:rsidRPr="00006FF4">
        <w:rPr>
          <w:b/>
          <w:bCs/>
        </w:rPr>
        <w:t>F6</w:t>
      </w:r>
      <w:r w:rsidRPr="00006FF4">
        <w:rPr>
          <w:b/>
          <w:bCs/>
        </w:rPr>
        <w:t>.</w:t>
      </w:r>
      <w:r w:rsidRPr="00BB7939">
        <w:t xml:space="preserve"> </w:t>
      </w:r>
      <w:r>
        <w:t xml:space="preserve">The mapped median directivity adjustment (amplification) at T=3 sec for four strike-slip scenarios with increasing </w:t>
      </w:r>
      <m:oMath>
        <m:r>
          <w:rPr>
            <w:rFonts w:ascii="Cambria Math" w:eastAsiaTheme="minorEastAsia" w:hAnsi="Cambria Math"/>
          </w:rPr>
          <m:t>Ztor</m:t>
        </m:r>
      </m:oMath>
      <w:r>
        <w:t>.</w:t>
      </w:r>
    </w:p>
    <w:p w14:paraId="5517F813" w14:textId="77777777" w:rsidR="00006FF4" w:rsidRDefault="00006FF4" w:rsidP="00006FF4">
      <w:pPr>
        <w:ind w:firstLine="0"/>
        <w:rPr>
          <w:u w:val="single"/>
        </w:rPr>
      </w:pPr>
    </w:p>
    <w:p w14:paraId="2B7CE764" w14:textId="77777777" w:rsidR="002B1318" w:rsidRDefault="002B1318" w:rsidP="00006FF4">
      <w:pPr>
        <w:ind w:firstLine="0"/>
        <w:rPr>
          <w:u w:val="single"/>
        </w:rPr>
      </w:pPr>
    </w:p>
    <w:p w14:paraId="7EED482A" w14:textId="187DC1B4" w:rsidR="001A5843" w:rsidRPr="002B1318" w:rsidRDefault="001A5843" w:rsidP="00006FF4">
      <w:pPr>
        <w:ind w:firstLine="0"/>
        <w:rPr>
          <w:b/>
          <w:bCs/>
        </w:rPr>
      </w:pPr>
      <w:r w:rsidRPr="002B1318">
        <w:rPr>
          <w:b/>
          <w:bCs/>
        </w:rPr>
        <w:lastRenderedPageBreak/>
        <w:t xml:space="preserve">Example </w:t>
      </w:r>
      <w:r w:rsidR="00E60AAB" w:rsidRPr="002B1318">
        <w:rPr>
          <w:b/>
          <w:bCs/>
        </w:rPr>
        <w:t>7</w:t>
      </w:r>
    </w:p>
    <w:p w14:paraId="6FF662E6" w14:textId="0A3B5327" w:rsidR="001A5843" w:rsidRDefault="00E60AAB" w:rsidP="00E60AAB">
      <w:r>
        <w:t xml:space="preserve">This example applies Bea24 to a series of vertical strike-slip scenario earthquakes with increasing magnitude. In each scenario, the Bea24 (Model 1) is applied with unknown hypocenter locations modeled as described in </w:t>
      </w:r>
      <w:r w:rsidR="00006FF4">
        <w:rPr>
          <w:i/>
          <w:iCs/>
        </w:rPr>
        <w:t>Model Implementation: Deterministic</w:t>
      </w:r>
      <w:r>
        <w:t xml:space="preserve">. The </w:t>
      </w:r>
      <w:proofErr w:type="spellStart"/>
      <w:r>
        <w:t>Melgar</w:t>
      </w:r>
      <w:proofErr w:type="spellEnd"/>
      <w:r>
        <w:t xml:space="preserve"> and Hayes (2019) hypocenter distribution model is used to assign </w:t>
      </w:r>
      <m:oMath>
        <m:sSub>
          <m:sSubPr>
            <m:ctrlPr>
              <w:rPr>
                <w:rFonts w:ascii="Cambria Math" w:hAnsi="Cambria Math" w:cs="Arial"/>
                <w:i/>
              </w:rPr>
            </m:ctrlPr>
          </m:sSubPr>
          <m:e>
            <m:r>
              <w:rPr>
                <w:rFonts w:ascii="Cambria Math" w:hAnsi="Cambria Math" w:cs="Arial"/>
              </w:rPr>
              <m:t>P</m:t>
            </m:r>
          </m:e>
          <m:sub>
            <m:r>
              <w:rPr>
                <w:rFonts w:ascii="Cambria Math" w:hAnsi="Cambria Math" w:cs="Arial"/>
              </w:rPr>
              <m:t>h</m:t>
            </m:r>
          </m:sub>
        </m:sSub>
      </m:oMath>
      <w:r>
        <w:t xml:space="preserve"> such that such that </w:t>
      </w:r>
      <m:oMath>
        <m:sSubSup>
          <m:sSubSupPr>
            <m:ctrlPr>
              <w:rPr>
                <w:rFonts w:ascii="Cambria Math" w:hAnsi="Cambria Math" w:cs="Arial"/>
                <w:i/>
              </w:rPr>
            </m:ctrlPr>
          </m:sSubSupPr>
          <m:e>
            <m:r>
              <m:rPr>
                <m:sty m:val="p"/>
              </m:rPr>
              <w:rPr>
                <w:rFonts w:ascii="Cambria Math" w:hAnsi="Cambria Math" w:cs="Arial"/>
              </w:rPr>
              <m:t>Σ</m:t>
            </m:r>
            <m:ctrlPr>
              <w:rPr>
                <w:rFonts w:ascii="Cambria Math" w:hAnsi="Cambria Math" w:cs="Arial"/>
              </w:rPr>
            </m:ctrlPr>
          </m:e>
          <m:sub>
            <m:r>
              <w:rPr>
                <w:rFonts w:ascii="Cambria Math" w:hAnsi="Cambria Math" w:cs="Arial"/>
              </w:rPr>
              <m:t>k</m:t>
            </m:r>
          </m:sub>
          <m:sup>
            <m:sSub>
              <m:sSubPr>
                <m:ctrlPr>
                  <w:rPr>
                    <w:rFonts w:ascii="Cambria Math" w:hAnsi="Cambria Math" w:cs="Arial"/>
                    <w:i/>
                  </w:rPr>
                </m:ctrlPr>
              </m:sSubPr>
              <m:e>
                <m:r>
                  <w:rPr>
                    <w:rFonts w:ascii="Cambria Math" w:hAnsi="Cambria Math" w:cs="Arial"/>
                  </w:rPr>
                  <m:t>N</m:t>
                </m:r>
              </m:e>
              <m:sub>
                <m:r>
                  <w:rPr>
                    <w:rFonts w:ascii="Cambria Math" w:hAnsi="Cambria Math" w:cs="Arial"/>
                  </w:rPr>
                  <m:t>h</m:t>
                </m:r>
              </m:sub>
            </m:sSub>
          </m:sup>
        </m:sSubSup>
        <m:sSub>
          <m:sSubPr>
            <m:ctrlPr>
              <w:rPr>
                <w:rFonts w:ascii="Cambria Math" w:hAnsi="Cambria Math" w:cs="Arial"/>
                <w:i/>
              </w:rPr>
            </m:ctrlPr>
          </m:sSubPr>
          <m:e>
            <m:r>
              <w:rPr>
                <w:rFonts w:ascii="Cambria Math" w:hAnsi="Cambria Math" w:cs="Arial"/>
              </w:rPr>
              <m:t>P</m:t>
            </m:r>
          </m:e>
          <m:sub>
            <m:r>
              <w:rPr>
                <w:rFonts w:ascii="Cambria Math" w:hAnsi="Cambria Math" w:cs="Arial"/>
              </w:rPr>
              <m:t>h</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k</m:t>
                </m:r>
              </m:sub>
            </m:sSub>
          </m:e>
        </m:d>
        <m:r>
          <w:rPr>
            <w:rFonts w:ascii="Cambria Math" w:hAnsi="Cambria Math" w:cs="Arial"/>
          </w:rPr>
          <m:t>=1</m:t>
        </m:r>
      </m:oMath>
      <w:r>
        <w:t xml:space="preserve">. The maps in Figures </w:t>
      </w:r>
      <w:r w:rsidR="008E472B">
        <w:t>F</w:t>
      </w:r>
      <w:r>
        <w:t xml:space="preserve">7 through </w:t>
      </w:r>
      <w:r w:rsidR="008E472B">
        <w:t>F</w:t>
      </w:r>
      <w:r>
        <w:t xml:space="preserve">10 show the spatial fields of </w:t>
      </w:r>
      <m:oMath>
        <m:sSub>
          <m:sSubPr>
            <m:ctrlPr>
              <w:rPr>
                <w:rFonts w:ascii="Cambria Math" w:hAnsi="Cambria Math" w:cs="Arial"/>
                <w:i/>
              </w:rPr>
            </m:ctrlPr>
          </m:sSubPr>
          <m:e>
            <m:r>
              <w:rPr>
                <w:rFonts w:ascii="Cambria Math" w:hAnsi="Cambria Math" w:cs="Arial"/>
              </w:rPr>
              <m:t>μ</m:t>
            </m:r>
          </m:e>
          <m:sub>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sub>
        </m:sSub>
      </m:oMath>
      <w:r>
        <w:t xml:space="preserve"> and </w:t>
      </w:r>
      <m:oMath>
        <m:sSub>
          <m:sSubPr>
            <m:ctrlPr>
              <w:rPr>
                <w:rFonts w:ascii="Cambria Math" w:hAnsi="Cambria Math"/>
                <w:i/>
              </w:rPr>
            </m:ctrlPr>
          </m:sSubPr>
          <m:e>
            <m:r>
              <w:rPr>
                <w:rFonts w:ascii="Cambria Math" w:hAnsi="Cambria Math"/>
              </w:rPr>
              <m:t>ϕ</m:t>
            </m:r>
          </m:e>
          <m:sub>
            <m:r>
              <w:rPr>
                <w:rFonts w:ascii="Cambria Math" w:hAnsi="Cambria Math"/>
              </w:rPr>
              <m:t>i|UH</m:t>
            </m:r>
          </m:sub>
        </m:sSub>
      </m:oMath>
      <w:r>
        <w:t>, which are calculated using Equations 8 and 9,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1A5843" w14:paraId="462223BF" w14:textId="77777777" w:rsidTr="009E2243">
        <w:trPr>
          <w:trHeight w:val="3797"/>
        </w:trPr>
        <w:tc>
          <w:tcPr>
            <w:tcW w:w="9350" w:type="dxa"/>
            <w:vAlign w:val="center"/>
          </w:tcPr>
          <w:p w14:paraId="71D9A880" w14:textId="79F4F5D6" w:rsidR="001A5843" w:rsidRDefault="00E60AAB" w:rsidP="00BB29EF">
            <w:pPr>
              <w:spacing w:after="0"/>
              <w:ind w:firstLine="0"/>
              <w:jc w:val="center"/>
            </w:pPr>
            <w:r>
              <w:rPr>
                <w:noProof/>
              </w:rPr>
              <w:drawing>
                <wp:inline distT="0" distB="0" distL="0" distR="0" wp14:anchorId="45880FDF" wp14:editId="100BB5AF">
                  <wp:extent cx="5542399" cy="2560030"/>
                  <wp:effectExtent l="0" t="0" r="0" b="5715"/>
                  <wp:docPr id="912363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3085" name="Picture 8"/>
                          <pic:cNvPicPr/>
                        </pic:nvPicPr>
                        <pic:blipFill>
                          <a:blip r:embed="rId30"/>
                          <a:stretch>
                            <a:fillRect/>
                          </a:stretch>
                        </pic:blipFill>
                        <pic:spPr>
                          <a:xfrm>
                            <a:off x="0" y="0"/>
                            <a:ext cx="5542399" cy="2560030"/>
                          </a:xfrm>
                          <a:prstGeom prst="rect">
                            <a:avLst/>
                          </a:prstGeom>
                        </pic:spPr>
                      </pic:pic>
                    </a:graphicData>
                  </a:graphic>
                </wp:inline>
              </w:drawing>
            </w:r>
          </w:p>
        </w:tc>
      </w:tr>
    </w:tbl>
    <w:p w14:paraId="70CCC8BE" w14:textId="3A9781B6" w:rsidR="001A5843" w:rsidRDefault="001A5843" w:rsidP="001A5843">
      <w:pPr>
        <w:pStyle w:val="Caption"/>
      </w:pPr>
      <w:r w:rsidRPr="00006FF4">
        <w:rPr>
          <w:b/>
          <w:bCs/>
        </w:rPr>
        <w:t xml:space="preserve">Figure </w:t>
      </w:r>
      <w:r w:rsidR="008E472B" w:rsidRPr="00006FF4">
        <w:rPr>
          <w:b/>
          <w:bCs/>
        </w:rPr>
        <w:t>F7</w:t>
      </w:r>
      <w:r>
        <w:t>.</w:t>
      </w:r>
      <w:r w:rsidRPr="00BB7939">
        <w:t xml:space="preserve"> </w:t>
      </w:r>
      <w:r w:rsidR="00E60AAB">
        <w:t xml:space="preserve">Application of the Bea24 directivity model (Model 1) with unknown hypocenter location to an </w:t>
      </w:r>
      <w:r w:rsidR="00E60AAB">
        <w:rPr>
          <w:b/>
          <w:bCs/>
        </w:rPr>
        <w:t>M</w:t>
      </w:r>
      <w:r w:rsidR="00E60AAB">
        <w:t xml:space="preserve">6.0 scenario earthquake with 13 km rupture length, at 3 </w:t>
      </w:r>
      <w:proofErr w:type="gramStart"/>
      <w:r w:rsidR="00E60AAB">
        <w:t>seconds</w:t>
      </w:r>
      <w:proofErr w:type="gramEnd"/>
      <w:r w:rsidR="00E60AAB">
        <w:t xml:space="preserve"> spectral period. </w:t>
      </w:r>
      <w:r w:rsidR="00E60AAB">
        <w:br/>
        <w:t xml:space="preserve">Left: Contours of </w:t>
      </w:r>
      <m:oMath>
        <m:sSub>
          <m:sSubPr>
            <m:ctrlPr>
              <w:rPr>
                <w:rFonts w:ascii="Cambria Math" w:hAnsi="Cambria Math" w:cs="Arial"/>
                <w:i/>
              </w:rPr>
            </m:ctrlPr>
          </m:sSubPr>
          <m:e>
            <m:r>
              <w:rPr>
                <w:rFonts w:ascii="Cambria Math" w:hAnsi="Cambria Math" w:cs="Arial"/>
              </w:rPr>
              <m:t>μ</m:t>
            </m:r>
          </m:e>
          <m:sub>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sub>
        </m:sSub>
      </m:oMath>
      <w:r w:rsidR="00E60AAB">
        <w:t xml:space="preserve"> (ln units). Right: Contours of </w:t>
      </w:r>
      <m:oMath>
        <m:sSub>
          <m:sSubPr>
            <m:ctrlPr>
              <w:rPr>
                <w:rFonts w:ascii="Cambria Math" w:hAnsi="Cambria Math"/>
                <w:i/>
              </w:rPr>
            </m:ctrlPr>
          </m:sSubPr>
          <m:e>
            <m:r>
              <w:rPr>
                <w:rFonts w:ascii="Cambria Math" w:hAnsi="Cambria Math"/>
              </w:rPr>
              <m:t>ϕ</m:t>
            </m:r>
          </m:e>
          <m:sub>
            <m:r>
              <w:rPr>
                <w:rFonts w:ascii="Cambria Math" w:hAnsi="Cambria Math"/>
              </w:rPr>
              <m:t>i|UH</m:t>
            </m:r>
          </m:sub>
        </m:sSub>
      </m:oMath>
      <w:r w:rsidR="00E60AAB">
        <w:t xml:space="preserve"> (ln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E60AAB" w14:paraId="6B0EAEF3" w14:textId="77777777" w:rsidTr="00BB29EF">
        <w:trPr>
          <w:trHeight w:val="3797"/>
        </w:trPr>
        <w:tc>
          <w:tcPr>
            <w:tcW w:w="9014" w:type="dxa"/>
            <w:vAlign w:val="center"/>
          </w:tcPr>
          <w:p w14:paraId="2587EFFE" w14:textId="77777777" w:rsidR="00E60AAB" w:rsidRDefault="00E60AAB" w:rsidP="00BB29EF">
            <w:pPr>
              <w:spacing w:after="0"/>
              <w:ind w:firstLine="0"/>
              <w:jc w:val="center"/>
            </w:pPr>
            <w:r>
              <w:rPr>
                <w:noProof/>
              </w:rPr>
              <w:drawing>
                <wp:inline distT="0" distB="0" distL="0" distR="0" wp14:anchorId="05AC4463" wp14:editId="3CC83EB7">
                  <wp:extent cx="5532699" cy="2555327"/>
                  <wp:effectExtent l="0" t="0" r="5080" b="0"/>
                  <wp:docPr id="1156559876" name="Picture 8" descr="A comparison of a flower with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3085" name="Picture 8" descr="A comparison of a flower with a blue background&#10;&#10;Description automatically generated with medium confidence"/>
                          <pic:cNvPicPr/>
                        </pic:nvPicPr>
                        <pic:blipFill>
                          <a:blip r:embed="rId31"/>
                          <a:stretch>
                            <a:fillRect/>
                          </a:stretch>
                        </pic:blipFill>
                        <pic:spPr>
                          <a:xfrm>
                            <a:off x="0" y="0"/>
                            <a:ext cx="5542882" cy="2560030"/>
                          </a:xfrm>
                          <a:prstGeom prst="rect">
                            <a:avLst/>
                          </a:prstGeom>
                        </pic:spPr>
                      </pic:pic>
                    </a:graphicData>
                  </a:graphic>
                </wp:inline>
              </w:drawing>
            </w:r>
          </w:p>
        </w:tc>
      </w:tr>
    </w:tbl>
    <w:p w14:paraId="2D5A8BA7" w14:textId="493D71AD" w:rsidR="00E60AAB" w:rsidRDefault="00E60AAB" w:rsidP="00E60AAB">
      <w:pPr>
        <w:pStyle w:val="Caption"/>
      </w:pPr>
      <w:r w:rsidRPr="00006FF4">
        <w:rPr>
          <w:b/>
          <w:bCs/>
        </w:rPr>
        <w:t xml:space="preserve">Figure </w:t>
      </w:r>
      <w:r w:rsidR="008E472B" w:rsidRPr="00006FF4">
        <w:rPr>
          <w:b/>
          <w:bCs/>
        </w:rPr>
        <w:t>F8</w:t>
      </w:r>
      <w:r w:rsidRPr="00006FF4">
        <w:rPr>
          <w:b/>
          <w:bCs/>
        </w:rPr>
        <w:t>.</w:t>
      </w:r>
      <w:r w:rsidRPr="00BB7939">
        <w:t xml:space="preserve"> </w:t>
      </w:r>
      <w:r>
        <w:t xml:space="preserve">Application of the Bea24 directivity model (Model 1) with unknown hypocenter location to an </w:t>
      </w:r>
      <w:r>
        <w:rPr>
          <w:b/>
          <w:bCs/>
        </w:rPr>
        <w:t>M</w:t>
      </w:r>
      <w:r>
        <w:t xml:space="preserve">6.6 scenario earthquake with 30 km rupture length, at 3 </w:t>
      </w:r>
      <w:proofErr w:type="gramStart"/>
      <w:r>
        <w:t>seconds</w:t>
      </w:r>
      <w:proofErr w:type="gramEnd"/>
      <w:r>
        <w:t xml:space="preserve"> spectral period. </w:t>
      </w:r>
      <w:r>
        <w:br/>
        <w:t xml:space="preserve">Left: Contours of </w:t>
      </w:r>
      <m:oMath>
        <m:sSub>
          <m:sSubPr>
            <m:ctrlPr>
              <w:rPr>
                <w:rFonts w:ascii="Cambria Math" w:hAnsi="Cambria Math" w:cs="Arial"/>
                <w:i/>
              </w:rPr>
            </m:ctrlPr>
          </m:sSubPr>
          <m:e>
            <m:r>
              <w:rPr>
                <w:rFonts w:ascii="Cambria Math" w:hAnsi="Cambria Math" w:cs="Arial"/>
              </w:rPr>
              <m:t>μ</m:t>
            </m:r>
          </m:e>
          <m:sub>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sub>
        </m:sSub>
      </m:oMath>
      <w:r>
        <w:t xml:space="preserve"> (ln units). Right: Contours of </w:t>
      </w:r>
      <m:oMath>
        <m:sSub>
          <m:sSubPr>
            <m:ctrlPr>
              <w:rPr>
                <w:rFonts w:ascii="Cambria Math" w:hAnsi="Cambria Math"/>
                <w:i/>
              </w:rPr>
            </m:ctrlPr>
          </m:sSubPr>
          <m:e>
            <m:r>
              <w:rPr>
                <w:rFonts w:ascii="Cambria Math" w:hAnsi="Cambria Math"/>
              </w:rPr>
              <m:t>ϕ</m:t>
            </m:r>
          </m:e>
          <m:sub>
            <m:r>
              <w:rPr>
                <w:rFonts w:ascii="Cambria Math" w:hAnsi="Cambria Math"/>
              </w:rPr>
              <m:t>i|UH</m:t>
            </m:r>
          </m:sub>
        </m:sSub>
      </m:oMath>
      <w:r>
        <w:t xml:space="preserve"> (ln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E60AAB" w14:paraId="3FD53C3A" w14:textId="77777777" w:rsidTr="009E2243">
        <w:trPr>
          <w:trHeight w:val="3797"/>
        </w:trPr>
        <w:tc>
          <w:tcPr>
            <w:tcW w:w="9350" w:type="dxa"/>
            <w:vAlign w:val="center"/>
          </w:tcPr>
          <w:p w14:paraId="1E4B0A42" w14:textId="77777777" w:rsidR="00E60AAB" w:rsidRDefault="00E60AAB" w:rsidP="00BB29EF">
            <w:pPr>
              <w:spacing w:after="0"/>
              <w:ind w:firstLine="0"/>
              <w:jc w:val="center"/>
            </w:pPr>
            <w:r>
              <w:rPr>
                <w:noProof/>
              </w:rPr>
              <w:lastRenderedPageBreak/>
              <w:drawing>
                <wp:inline distT="0" distB="0" distL="0" distR="0" wp14:anchorId="71629AE7" wp14:editId="6B6AAE38">
                  <wp:extent cx="5074577" cy="2560030"/>
                  <wp:effectExtent l="0" t="0" r="5715" b="5715"/>
                  <wp:docPr id="1136069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69484" name="Picture 8"/>
                          <pic:cNvPicPr/>
                        </pic:nvPicPr>
                        <pic:blipFill>
                          <a:blip r:embed="rId32"/>
                          <a:stretch>
                            <a:fillRect/>
                          </a:stretch>
                        </pic:blipFill>
                        <pic:spPr>
                          <a:xfrm>
                            <a:off x="0" y="0"/>
                            <a:ext cx="5074577" cy="2560030"/>
                          </a:xfrm>
                          <a:prstGeom prst="rect">
                            <a:avLst/>
                          </a:prstGeom>
                        </pic:spPr>
                      </pic:pic>
                    </a:graphicData>
                  </a:graphic>
                </wp:inline>
              </w:drawing>
            </w:r>
          </w:p>
        </w:tc>
      </w:tr>
    </w:tbl>
    <w:p w14:paraId="72744406" w14:textId="61AD777E" w:rsidR="00E60AAB" w:rsidRDefault="00E60AAB" w:rsidP="00E60AAB">
      <w:pPr>
        <w:pStyle w:val="Caption"/>
      </w:pPr>
      <w:r w:rsidRPr="00006FF4">
        <w:rPr>
          <w:b/>
          <w:bCs/>
        </w:rPr>
        <w:t xml:space="preserve">Figure </w:t>
      </w:r>
      <w:r w:rsidR="008E472B" w:rsidRPr="00006FF4">
        <w:rPr>
          <w:b/>
          <w:bCs/>
        </w:rPr>
        <w:t>F9</w:t>
      </w:r>
      <w:r w:rsidRPr="00006FF4">
        <w:rPr>
          <w:b/>
          <w:bCs/>
        </w:rPr>
        <w:t>.</w:t>
      </w:r>
      <w:r w:rsidRPr="00BB7939">
        <w:t xml:space="preserve"> </w:t>
      </w:r>
      <w:r>
        <w:t xml:space="preserve">Application of the Bea24 directivity model (Model 1) with unknown hypocenter location to an </w:t>
      </w:r>
      <w:r>
        <w:rPr>
          <w:b/>
          <w:bCs/>
        </w:rPr>
        <w:t>M</w:t>
      </w:r>
      <w:r>
        <w:t xml:space="preserve">7.2 scenario earthquake with 80 km rupture length, at 3 </w:t>
      </w:r>
      <w:proofErr w:type="gramStart"/>
      <w:r>
        <w:t>seconds</w:t>
      </w:r>
      <w:proofErr w:type="gramEnd"/>
      <w:r>
        <w:t xml:space="preserve"> spectral period. </w:t>
      </w:r>
      <w:r>
        <w:br/>
        <w:t xml:space="preserve">Left: Contours of </w:t>
      </w:r>
      <m:oMath>
        <m:sSub>
          <m:sSubPr>
            <m:ctrlPr>
              <w:rPr>
                <w:rFonts w:ascii="Cambria Math" w:hAnsi="Cambria Math" w:cs="Arial"/>
                <w:i/>
              </w:rPr>
            </m:ctrlPr>
          </m:sSubPr>
          <m:e>
            <m:r>
              <w:rPr>
                <w:rFonts w:ascii="Cambria Math" w:hAnsi="Cambria Math" w:cs="Arial"/>
              </w:rPr>
              <m:t>μ</m:t>
            </m:r>
          </m:e>
          <m:sub>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sub>
        </m:sSub>
      </m:oMath>
      <w:r>
        <w:t xml:space="preserve"> (ln units). Right: Contours of </w:t>
      </w:r>
      <m:oMath>
        <m:sSub>
          <m:sSubPr>
            <m:ctrlPr>
              <w:rPr>
                <w:rFonts w:ascii="Cambria Math" w:hAnsi="Cambria Math"/>
                <w:i/>
              </w:rPr>
            </m:ctrlPr>
          </m:sSubPr>
          <m:e>
            <m:r>
              <w:rPr>
                <w:rFonts w:ascii="Cambria Math" w:hAnsi="Cambria Math"/>
              </w:rPr>
              <m:t>ϕ</m:t>
            </m:r>
          </m:e>
          <m:sub>
            <m:r>
              <w:rPr>
                <w:rFonts w:ascii="Cambria Math" w:hAnsi="Cambria Math"/>
              </w:rPr>
              <m:t>i|UH</m:t>
            </m:r>
          </m:sub>
        </m:sSub>
      </m:oMath>
      <w:r>
        <w:t xml:space="preserve"> (ln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E60AAB" w14:paraId="1D81879F" w14:textId="77777777" w:rsidTr="002B1318">
        <w:trPr>
          <w:trHeight w:val="3797"/>
        </w:trPr>
        <w:tc>
          <w:tcPr>
            <w:tcW w:w="9014" w:type="dxa"/>
            <w:vAlign w:val="center"/>
          </w:tcPr>
          <w:p w14:paraId="02C6BE5C" w14:textId="77777777" w:rsidR="00E60AAB" w:rsidRDefault="00E60AAB" w:rsidP="00BB29EF">
            <w:pPr>
              <w:spacing w:after="0"/>
              <w:ind w:firstLine="0"/>
              <w:jc w:val="center"/>
            </w:pPr>
            <w:r>
              <w:rPr>
                <w:noProof/>
              </w:rPr>
              <w:drawing>
                <wp:inline distT="0" distB="0" distL="0" distR="0" wp14:anchorId="69164793" wp14:editId="0D247408">
                  <wp:extent cx="4132163" cy="4093832"/>
                  <wp:effectExtent l="0" t="0" r="0" b="0"/>
                  <wp:docPr id="716530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30352" name="Picture 8"/>
                          <pic:cNvPicPr/>
                        </pic:nvPicPr>
                        <pic:blipFill>
                          <a:blip r:embed="rId33"/>
                          <a:stretch>
                            <a:fillRect/>
                          </a:stretch>
                        </pic:blipFill>
                        <pic:spPr>
                          <a:xfrm>
                            <a:off x="0" y="0"/>
                            <a:ext cx="4164587" cy="4125955"/>
                          </a:xfrm>
                          <a:prstGeom prst="rect">
                            <a:avLst/>
                          </a:prstGeom>
                        </pic:spPr>
                      </pic:pic>
                    </a:graphicData>
                  </a:graphic>
                </wp:inline>
              </w:drawing>
            </w:r>
          </w:p>
        </w:tc>
      </w:tr>
    </w:tbl>
    <w:p w14:paraId="2682B1D7" w14:textId="6C72390A" w:rsidR="001A5843" w:rsidRPr="00BB7939" w:rsidRDefault="00E60AAB" w:rsidP="001A5843">
      <w:pPr>
        <w:pStyle w:val="Caption"/>
      </w:pPr>
      <w:r w:rsidRPr="00006FF4">
        <w:rPr>
          <w:b/>
          <w:bCs/>
        </w:rPr>
        <w:t xml:space="preserve">Figure </w:t>
      </w:r>
      <w:r w:rsidR="008E472B" w:rsidRPr="00006FF4">
        <w:rPr>
          <w:b/>
          <w:bCs/>
        </w:rPr>
        <w:t>F10</w:t>
      </w:r>
      <w:r w:rsidRPr="00006FF4">
        <w:rPr>
          <w:b/>
          <w:bCs/>
        </w:rPr>
        <w:t>.</w:t>
      </w:r>
      <w:r w:rsidRPr="00BB7939">
        <w:t xml:space="preserve"> </w:t>
      </w:r>
      <w:r>
        <w:t xml:space="preserve">Application of the Bea24 directivity model (Model 1) with unknown hypocenter location to an </w:t>
      </w:r>
      <w:r>
        <w:rPr>
          <w:b/>
          <w:bCs/>
        </w:rPr>
        <w:t>M</w:t>
      </w:r>
      <w:r>
        <w:t xml:space="preserve">7.8 scenario earthquake with 400 km rupture length, at 10 </w:t>
      </w:r>
      <w:proofErr w:type="gramStart"/>
      <w:r>
        <w:t>seconds</w:t>
      </w:r>
      <w:proofErr w:type="gramEnd"/>
      <w:r>
        <w:t xml:space="preserve"> spectral period. </w:t>
      </w:r>
      <w:r>
        <w:br/>
        <w:t xml:space="preserve">Left: Contours of </w:t>
      </w:r>
      <m:oMath>
        <m:sSub>
          <m:sSubPr>
            <m:ctrlPr>
              <w:rPr>
                <w:rFonts w:ascii="Cambria Math" w:hAnsi="Cambria Math" w:cs="Arial"/>
                <w:i/>
              </w:rPr>
            </m:ctrlPr>
          </m:sSubPr>
          <m:e>
            <m:r>
              <w:rPr>
                <w:rFonts w:ascii="Cambria Math" w:hAnsi="Cambria Math" w:cs="Arial"/>
              </w:rPr>
              <m:t>μ</m:t>
            </m:r>
          </m:e>
          <m:sub>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sub>
        </m:sSub>
      </m:oMath>
      <w:r>
        <w:t xml:space="preserve"> (ln units). Right: Contours of </w:t>
      </w:r>
      <m:oMath>
        <m:sSub>
          <m:sSubPr>
            <m:ctrlPr>
              <w:rPr>
                <w:rFonts w:ascii="Cambria Math" w:hAnsi="Cambria Math"/>
                <w:i/>
              </w:rPr>
            </m:ctrlPr>
          </m:sSubPr>
          <m:e>
            <m:r>
              <w:rPr>
                <w:rFonts w:ascii="Cambria Math" w:hAnsi="Cambria Math"/>
              </w:rPr>
              <m:t>ϕ</m:t>
            </m:r>
          </m:e>
          <m:sub>
            <m:r>
              <w:rPr>
                <w:rFonts w:ascii="Cambria Math" w:hAnsi="Cambria Math"/>
              </w:rPr>
              <m:t>i|UH</m:t>
            </m:r>
          </m:sub>
        </m:sSub>
      </m:oMath>
      <w:r>
        <w:t xml:space="preserve"> (ln units).</w:t>
      </w:r>
    </w:p>
    <w:sectPr w:rsidR="001A5843" w:rsidRPr="00BB7939" w:rsidSect="00A862DF">
      <w:headerReference w:type="even" r:id="rId34"/>
      <w:headerReference w:type="default" r:id="rId35"/>
      <w:footerReference w:type="even" r:id="rId36"/>
      <w:footerReference w:type="default" r:id="rId37"/>
      <w:pgSz w:w="12240" w:h="15840"/>
      <w:pgMar w:top="1080" w:right="1613" w:bottom="1080" w:left="1613"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6A6EB" w14:textId="77777777" w:rsidR="00C55227" w:rsidRDefault="00C55227" w:rsidP="00210500">
      <w:pPr>
        <w:spacing w:after="0"/>
      </w:pPr>
      <w:r>
        <w:separator/>
      </w:r>
    </w:p>
  </w:endnote>
  <w:endnote w:type="continuationSeparator" w:id="0">
    <w:p w14:paraId="05D1F758" w14:textId="77777777" w:rsidR="00C55227" w:rsidRDefault="00C55227" w:rsidP="00210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794883"/>
      <w:docPartObj>
        <w:docPartGallery w:val="Page Numbers (Bottom of Page)"/>
        <w:docPartUnique/>
      </w:docPartObj>
    </w:sdtPr>
    <w:sdtContent>
      <w:p w14:paraId="3AF144F2" w14:textId="69422729" w:rsidR="00546327" w:rsidRDefault="00546327" w:rsidP="007E00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0EE031" w14:textId="77777777" w:rsidR="00546327" w:rsidRDefault="00546327" w:rsidP="005463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1864178"/>
      <w:docPartObj>
        <w:docPartGallery w:val="Page Numbers (Bottom of Page)"/>
        <w:docPartUnique/>
      </w:docPartObj>
    </w:sdtPr>
    <w:sdtContent>
      <w:p w14:paraId="597E318D" w14:textId="4D6379A6" w:rsidR="007E00F8" w:rsidRDefault="007E00F8" w:rsidP="006E457D">
        <w:pPr>
          <w:pStyle w:val="Footer"/>
          <w:framePr w:wrap="none" w:vAnchor="text" w:hAnchor="margin" w:xAlign="center" w:y="1"/>
          <w:rPr>
            <w:rStyle w:val="PageNumber"/>
          </w:rPr>
        </w:pPr>
        <w:r>
          <w:rPr>
            <w:rStyle w:val="PageNumber"/>
          </w:rPr>
          <w:t>Bayless</w:t>
        </w:r>
        <w:r w:rsidR="006E457D">
          <w:rPr>
            <w:rStyle w:val="PageNumber"/>
          </w:rPr>
          <w:t xml:space="preserve"> et al.</w:t>
        </w:r>
        <w:r>
          <w:rPr>
            <w:rStyle w:val="PageNumber"/>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77E9C298" w14:textId="557500A3" w:rsidR="00546327" w:rsidRDefault="00546327" w:rsidP="009E2243">
    <w:pPr>
      <w:pStyle w:val="Footer"/>
      <w:framePr w:wrap="none" w:vAnchor="text" w:hAnchor="margin" w:xAlign="right" w:y="1"/>
      <w:rPr>
        <w:rStyle w:val="PageNumber"/>
      </w:rPr>
    </w:pPr>
  </w:p>
  <w:p w14:paraId="79309FA5" w14:textId="37DCD9AA" w:rsidR="00517BC9" w:rsidRPr="00546327" w:rsidRDefault="00546327" w:rsidP="00546327">
    <w:pPr>
      <w:pStyle w:val="Footer"/>
      <w:ind w:righ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3747D" w14:textId="77777777" w:rsidR="00C55227" w:rsidRDefault="00C55227" w:rsidP="00210500">
      <w:pPr>
        <w:spacing w:after="0"/>
      </w:pPr>
      <w:r>
        <w:separator/>
      </w:r>
    </w:p>
  </w:footnote>
  <w:footnote w:type="continuationSeparator" w:id="0">
    <w:p w14:paraId="009F0291" w14:textId="77777777" w:rsidR="00C55227" w:rsidRDefault="00C55227" w:rsidP="002105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8200106"/>
      <w:docPartObj>
        <w:docPartGallery w:val="Page Numbers (Top of Page)"/>
        <w:docPartUnique/>
      </w:docPartObj>
    </w:sdtPr>
    <w:sdtContent>
      <w:p w14:paraId="7A827A36" w14:textId="77777777" w:rsidR="00517BC9" w:rsidRDefault="00517BC9" w:rsidP="00AC2E0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7762E" w14:textId="77777777" w:rsidR="00517BC9" w:rsidRDefault="00517BC9" w:rsidP="0021050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ECCC" w14:textId="1DD80F5B" w:rsidR="00517BC9" w:rsidRDefault="00517BC9" w:rsidP="00AC2E09">
    <w:pPr>
      <w:pStyle w:val="Header"/>
      <w:framePr w:wrap="none" w:vAnchor="text" w:hAnchor="margin" w:xAlign="right" w:y="1"/>
      <w:rPr>
        <w:rStyle w:val="PageNumber"/>
      </w:rPr>
    </w:pPr>
  </w:p>
  <w:p w14:paraId="3616EE08" w14:textId="77777777" w:rsidR="00517BC9" w:rsidRDefault="00517BC9" w:rsidP="004B59EC">
    <w:pPr>
      <w:pStyle w:val="Header"/>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8EA"/>
    <w:multiLevelType w:val="hybridMultilevel"/>
    <w:tmpl w:val="4964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927B1"/>
    <w:multiLevelType w:val="hybridMultilevel"/>
    <w:tmpl w:val="3BD00B5A"/>
    <w:lvl w:ilvl="0" w:tplc="FFFFFFFF">
      <w:start w:val="4"/>
      <w:numFmt w:val="decimal"/>
      <w:lvlText w:val="(%1)"/>
      <w:lvlJc w:val="left"/>
      <w:pPr>
        <w:tabs>
          <w:tab w:val="num" w:pos="2160"/>
        </w:tabs>
        <w:ind w:left="2160" w:hanging="360"/>
      </w:pPr>
      <w:rPr>
        <w:rFonts w:cs="Times New Roman" w:hint="default"/>
      </w:rPr>
    </w:lvl>
    <w:lvl w:ilvl="1" w:tplc="0409000F">
      <w:start w:val="1"/>
      <w:numFmt w:val="decimal"/>
      <w:lvlText w:val="%2."/>
      <w:lvlJc w:val="left"/>
      <w:pPr>
        <w:tabs>
          <w:tab w:val="num" w:pos="2880"/>
        </w:tabs>
        <w:ind w:left="2880" w:hanging="360"/>
      </w:pPr>
      <w:rPr>
        <w:rFonts w:cs="Times New Roman" w:hint="default"/>
      </w:rPr>
    </w:lvl>
    <w:lvl w:ilvl="2" w:tplc="FFFFFFFF" w:tentative="1">
      <w:start w:val="1"/>
      <w:numFmt w:val="lowerRoman"/>
      <w:lvlText w:val="%3."/>
      <w:lvlJc w:val="right"/>
      <w:pPr>
        <w:tabs>
          <w:tab w:val="num" w:pos="3600"/>
        </w:tabs>
        <w:ind w:left="3600" w:hanging="180"/>
      </w:pPr>
      <w:rPr>
        <w:rFonts w:cs="Times New Roman"/>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2" w15:restartNumberingAfterBreak="0">
    <w:nsid w:val="07476557"/>
    <w:multiLevelType w:val="hybridMultilevel"/>
    <w:tmpl w:val="FC363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43F7B"/>
    <w:multiLevelType w:val="hybridMultilevel"/>
    <w:tmpl w:val="0524B6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A2A1AA0"/>
    <w:multiLevelType w:val="multilevel"/>
    <w:tmpl w:val="3A0AFC82"/>
    <w:lvl w:ilvl="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421DE1"/>
    <w:multiLevelType w:val="multilevel"/>
    <w:tmpl w:val="82E88B3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2448E2"/>
    <w:multiLevelType w:val="multilevel"/>
    <w:tmpl w:val="B9F81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BA571A"/>
    <w:multiLevelType w:val="hybridMultilevel"/>
    <w:tmpl w:val="6400C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F597A"/>
    <w:multiLevelType w:val="multilevel"/>
    <w:tmpl w:val="2BD03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270B5F"/>
    <w:multiLevelType w:val="hybridMultilevel"/>
    <w:tmpl w:val="C8EA4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95C83"/>
    <w:multiLevelType w:val="hybridMultilevel"/>
    <w:tmpl w:val="A8A4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D3CAF"/>
    <w:multiLevelType w:val="hybridMultilevel"/>
    <w:tmpl w:val="A41E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629CC"/>
    <w:multiLevelType w:val="hybridMultilevel"/>
    <w:tmpl w:val="4D8E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E5FFA"/>
    <w:multiLevelType w:val="hybridMultilevel"/>
    <w:tmpl w:val="46E06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52F98"/>
    <w:multiLevelType w:val="hybridMultilevel"/>
    <w:tmpl w:val="094C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028BA"/>
    <w:multiLevelType w:val="multilevel"/>
    <w:tmpl w:val="0FAEDB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F3719D"/>
    <w:multiLevelType w:val="hybridMultilevel"/>
    <w:tmpl w:val="80DCE9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57FB5"/>
    <w:multiLevelType w:val="hybridMultilevel"/>
    <w:tmpl w:val="3C087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B6491"/>
    <w:multiLevelType w:val="hybridMultilevel"/>
    <w:tmpl w:val="C194F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E59FA"/>
    <w:multiLevelType w:val="hybridMultilevel"/>
    <w:tmpl w:val="C26646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33E4648"/>
    <w:multiLevelType w:val="hybridMultilevel"/>
    <w:tmpl w:val="DECA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D82F90"/>
    <w:multiLevelType w:val="multilevel"/>
    <w:tmpl w:val="C266463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106DE3"/>
    <w:multiLevelType w:val="multilevel"/>
    <w:tmpl w:val="B9F81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D2B6C2F"/>
    <w:multiLevelType w:val="hybridMultilevel"/>
    <w:tmpl w:val="3D60E4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DD16D9"/>
    <w:multiLevelType w:val="hybridMultilevel"/>
    <w:tmpl w:val="EF86B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EC1925"/>
    <w:multiLevelType w:val="multilevel"/>
    <w:tmpl w:val="E51C0B7A"/>
    <w:lvl w:ilvl="0">
      <w:start w:val="1"/>
      <w:numFmt w:val="upperRoman"/>
      <w:lvlText w:val="%1."/>
      <w:lvlJc w:val="left"/>
      <w:pPr>
        <w:ind w:left="360" w:firstLine="0"/>
      </w:pPr>
    </w:lvl>
    <w:lvl w:ilvl="1">
      <w:start w:val="1"/>
      <w:numFmt w:val="upperLetter"/>
      <w:lvlText w:val="%2."/>
      <w:lvlJc w:val="left"/>
      <w:pPr>
        <w:ind w:left="1080" w:firstLine="0"/>
      </w:pPr>
    </w:lvl>
    <w:lvl w:ilvl="2">
      <w:start w:val="1"/>
      <w:numFmt w:val="decimal"/>
      <w:lvlText w:val="%3."/>
      <w:lvlJc w:val="left"/>
      <w:pPr>
        <w:ind w:left="1800" w:firstLine="0"/>
      </w:pPr>
    </w:lvl>
    <w:lvl w:ilvl="3">
      <w:start w:val="1"/>
      <w:numFmt w:val="lowerLetter"/>
      <w:lvlText w:val="%4)"/>
      <w:lvlJc w:val="left"/>
      <w:pPr>
        <w:ind w:left="2520" w:firstLine="0"/>
      </w:pPr>
    </w:lvl>
    <w:lvl w:ilvl="4">
      <w:start w:val="1"/>
      <w:numFmt w:val="decimal"/>
      <w:lvlText w:val="(%5)"/>
      <w:lvlJc w:val="left"/>
      <w:pPr>
        <w:ind w:left="3240" w:firstLine="0"/>
      </w:pPr>
    </w:lvl>
    <w:lvl w:ilvl="5">
      <w:start w:val="1"/>
      <w:numFmt w:val="lowerLetter"/>
      <w:lvlText w:val="(%6)"/>
      <w:lvlJc w:val="left"/>
      <w:pPr>
        <w:ind w:left="3960" w:firstLine="0"/>
      </w:pPr>
    </w:lvl>
    <w:lvl w:ilvl="6">
      <w:start w:val="1"/>
      <w:numFmt w:val="lowerRoman"/>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120" w:firstLine="0"/>
      </w:pPr>
    </w:lvl>
  </w:abstractNum>
  <w:abstractNum w:abstractNumId="26" w15:restartNumberingAfterBreak="0">
    <w:nsid w:val="743158AD"/>
    <w:multiLevelType w:val="hybridMultilevel"/>
    <w:tmpl w:val="56149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A16C59"/>
    <w:multiLevelType w:val="hybridMultilevel"/>
    <w:tmpl w:val="AADC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13BC2"/>
    <w:multiLevelType w:val="hybridMultilevel"/>
    <w:tmpl w:val="C16838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4C1B5D"/>
    <w:multiLevelType w:val="hybridMultilevel"/>
    <w:tmpl w:val="C1881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2C2C3E"/>
    <w:multiLevelType w:val="hybridMultilevel"/>
    <w:tmpl w:val="1C80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CD6EA7"/>
    <w:multiLevelType w:val="hybridMultilevel"/>
    <w:tmpl w:val="1DD2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F364C"/>
    <w:multiLevelType w:val="hybridMultilevel"/>
    <w:tmpl w:val="6C9AE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A93E91"/>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D46361"/>
    <w:multiLevelType w:val="hybridMultilevel"/>
    <w:tmpl w:val="ECD68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3787352">
    <w:abstractNumId w:val="1"/>
  </w:num>
  <w:num w:numId="2" w16cid:durableId="748356082">
    <w:abstractNumId w:val="15"/>
  </w:num>
  <w:num w:numId="3" w16cid:durableId="885527935">
    <w:abstractNumId w:val="8"/>
  </w:num>
  <w:num w:numId="4" w16cid:durableId="1398696">
    <w:abstractNumId w:val="25"/>
  </w:num>
  <w:num w:numId="5" w16cid:durableId="1513839997">
    <w:abstractNumId w:val="5"/>
  </w:num>
  <w:num w:numId="6" w16cid:durableId="1596548520">
    <w:abstractNumId w:val="6"/>
  </w:num>
  <w:num w:numId="7" w16cid:durableId="232660728">
    <w:abstractNumId w:val="10"/>
  </w:num>
  <w:num w:numId="8" w16cid:durableId="396828782">
    <w:abstractNumId w:val="0"/>
  </w:num>
  <w:num w:numId="9" w16cid:durableId="669915500">
    <w:abstractNumId w:val="22"/>
  </w:num>
  <w:num w:numId="10" w16cid:durableId="524054300">
    <w:abstractNumId w:val="23"/>
  </w:num>
  <w:num w:numId="11" w16cid:durableId="926646103">
    <w:abstractNumId w:val="24"/>
  </w:num>
  <w:num w:numId="12" w16cid:durableId="451831132">
    <w:abstractNumId w:val="2"/>
  </w:num>
  <w:num w:numId="13" w16cid:durableId="580872634">
    <w:abstractNumId w:val="7"/>
  </w:num>
  <w:num w:numId="14" w16cid:durableId="279383521">
    <w:abstractNumId w:val="30"/>
  </w:num>
  <w:num w:numId="15" w16cid:durableId="1797144135">
    <w:abstractNumId w:val="12"/>
  </w:num>
  <w:num w:numId="16" w16cid:durableId="994408194">
    <w:abstractNumId w:val="32"/>
  </w:num>
  <w:num w:numId="17" w16cid:durableId="361638084">
    <w:abstractNumId w:val="18"/>
  </w:num>
  <w:num w:numId="18" w16cid:durableId="459735182">
    <w:abstractNumId w:val="14"/>
  </w:num>
  <w:num w:numId="19" w16cid:durableId="213347392">
    <w:abstractNumId w:val="11"/>
  </w:num>
  <w:num w:numId="20" w16cid:durableId="421681997">
    <w:abstractNumId w:val="29"/>
  </w:num>
  <w:num w:numId="21" w16cid:durableId="1854757908">
    <w:abstractNumId w:val="13"/>
  </w:num>
  <w:num w:numId="22" w16cid:durableId="958030730">
    <w:abstractNumId w:val="26"/>
  </w:num>
  <w:num w:numId="23" w16cid:durableId="1185368511">
    <w:abstractNumId w:val="31"/>
  </w:num>
  <w:num w:numId="24" w16cid:durableId="1514227890">
    <w:abstractNumId w:val="3"/>
  </w:num>
  <w:num w:numId="25" w16cid:durableId="1502157064">
    <w:abstractNumId w:val="4"/>
  </w:num>
  <w:num w:numId="26" w16cid:durableId="1283465746">
    <w:abstractNumId w:val="16"/>
  </w:num>
  <w:num w:numId="27" w16cid:durableId="474954034">
    <w:abstractNumId w:val="27"/>
  </w:num>
  <w:num w:numId="28" w16cid:durableId="102963006">
    <w:abstractNumId w:val="20"/>
  </w:num>
  <w:num w:numId="29" w16cid:durableId="536165326">
    <w:abstractNumId w:val="9"/>
  </w:num>
  <w:num w:numId="30" w16cid:durableId="6913328">
    <w:abstractNumId w:val="28"/>
  </w:num>
  <w:num w:numId="31" w16cid:durableId="2105108309">
    <w:abstractNumId w:val="34"/>
  </w:num>
  <w:num w:numId="32" w16cid:durableId="62602399">
    <w:abstractNumId w:val="19"/>
  </w:num>
  <w:num w:numId="33" w16cid:durableId="1827357686">
    <w:abstractNumId w:val="21"/>
  </w:num>
  <w:num w:numId="34" w16cid:durableId="10495692">
    <w:abstractNumId w:val="17"/>
  </w:num>
  <w:num w:numId="35" w16cid:durableId="61348569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00"/>
    <w:rsid w:val="00000757"/>
    <w:rsid w:val="00002525"/>
    <w:rsid w:val="000031D7"/>
    <w:rsid w:val="000034B7"/>
    <w:rsid w:val="00003599"/>
    <w:rsid w:val="00003951"/>
    <w:rsid w:val="00003E40"/>
    <w:rsid w:val="00004B3E"/>
    <w:rsid w:val="00006789"/>
    <w:rsid w:val="00006FF4"/>
    <w:rsid w:val="000076CF"/>
    <w:rsid w:val="00007979"/>
    <w:rsid w:val="00007A6C"/>
    <w:rsid w:val="0001170F"/>
    <w:rsid w:val="000120A4"/>
    <w:rsid w:val="00012CC5"/>
    <w:rsid w:val="00013041"/>
    <w:rsid w:val="00013C1C"/>
    <w:rsid w:val="000149EE"/>
    <w:rsid w:val="00014BC6"/>
    <w:rsid w:val="00015536"/>
    <w:rsid w:val="000161FB"/>
    <w:rsid w:val="0001696F"/>
    <w:rsid w:val="00016F65"/>
    <w:rsid w:val="00017004"/>
    <w:rsid w:val="000175AB"/>
    <w:rsid w:val="00017A87"/>
    <w:rsid w:val="000212AC"/>
    <w:rsid w:val="00021821"/>
    <w:rsid w:val="000220FB"/>
    <w:rsid w:val="00024036"/>
    <w:rsid w:val="00024227"/>
    <w:rsid w:val="00024E6A"/>
    <w:rsid w:val="000256A4"/>
    <w:rsid w:val="0002778C"/>
    <w:rsid w:val="00030178"/>
    <w:rsid w:val="0003210D"/>
    <w:rsid w:val="00032DCE"/>
    <w:rsid w:val="000338FB"/>
    <w:rsid w:val="00033BC4"/>
    <w:rsid w:val="00034682"/>
    <w:rsid w:val="0003505B"/>
    <w:rsid w:val="00035397"/>
    <w:rsid w:val="000355EA"/>
    <w:rsid w:val="00035B47"/>
    <w:rsid w:val="00036568"/>
    <w:rsid w:val="00036A89"/>
    <w:rsid w:val="00037298"/>
    <w:rsid w:val="00037466"/>
    <w:rsid w:val="00037D50"/>
    <w:rsid w:val="00037D5A"/>
    <w:rsid w:val="00040CAF"/>
    <w:rsid w:val="0004127A"/>
    <w:rsid w:val="00041449"/>
    <w:rsid w:val="00041677"/>
    <w:rsid w:val="0004492D"/>
    <w:rsid w:val="00044D96"/>
    <w:rsid w:val="00045B9A"/>
    <w:rsid w:val="00045D27"/>
    <w:rsid w:val="00046B4D"/>
    <w:rsid w:val="00047C17"/>
    <w:rsid w:val="0005009C"/>
    <w:rsid w:val="0005143B"/>
    <w:rsid w:val="000515B9"/>
    <w:rsid w:val="00051DF8"/>
    <w:rsid w:val="00051E06"/>
    <w:rsid w:val="00051FA3"/>
    <w:rsid w:val="00052573"/>
    <w:rsid w:val="00054AC9"/>
    <w:rsid w:val="000556F4"/>
    <w:rsid w:val="00056375"/>
    <w:rsid w:val="000568BA"/>
    <w:rsid w:val="00057EDE"/>
    <w:rsid w:val="00060481"/>
    <w:rsid w:val="00060B0E"/>
    <w:rsid w:val="00061299"/>
    <w:rsid w:val="0006273B"/>
    <w:rsid w:val="00063925"/>
    <w:rsid w:val="00063F95"/>
    <w:rsid w:val="000640E7"/>
    <w:rsid w:val="000647C0"/>
    <w:rsid w:val="00066AA8"/>
    <w:rsid w:val="00066E0C"/>
    <w:rsid w:val="00067F26"/>
    <w:rsid w:val="00072FEE"/>
    <w:rsid w:val="00074B07"/>
    <w:rsid w:val="00077207"/>
    <w:rsid w:val="0007742F"/>
    <w:rsid w:val="00080399"/>
    <w:rsid w:val="00080B6A"/>
    <w:rsid w:val="00081E70"/>
    <w:rsid w:val="000820A4"/>
    <w:rsid w:val="0008375A"/>
    <w:rsid w:val="000837F2"/>
    <w:rsid w:val="00083919"/>
    <w:rsid w:val="00084C01"/>
    <w:rsid w:val="000868D3"/>
    <w:rsid w:val="000873F0"/>
    <w:rsid w:val="000874AE"/>
    <w:rsid w:val="00087ADB"/>
    <w:rsid w:val="00090058"/>
    <w:rsid w:val="00092DC9"/>
    <w:rsid w:val="000935A9"/>
    <w:rsid w:val="00093731"/>
    <w:rsid w:val="00093A44"/>
    <w:rsid w:val="00093D92"/>
    <w:rsid w:val="0009531C"/>
    <w:rsid w:val="000960E8"/>
    <w:rsid w:val="00096692"/>
    <w:rsid w:val="00096DDC"/>
    <w:rsid w:val="00097101"/>
    <w:rsid w:val="000A2732"/>
    <w:rsid w:val="000A3901"/>
    <w:rsid w:val="000A3CBF"/>
    <w:rsid w:val="000A3E89"/>
    <w:rsid w:val="000A3E9C"/>
    <w:rsid w:val="000A4349"/>
    <w:rsid w:val="000A4BD4"/>
    <w:rsid w:val="000A5380"/>
    <w:rsid w:val="000A58C1"/>
    <w:rsid w:val="000A7260"/>
    <w:rsid w:val="000A7DFB"/>
    <w:rsid w:val="000B0637"/>
    <w:rsid w:val="000B2EAE"/>
    <w:rsid w:val="000B3725"/>
    <w:rsid w:val="000B41EE"/>
    <w:rsid w:val="000B4247"/>
    <w:rsid w:val="000B4873"/>
    <w:rsid w:val="000B4BAB"/>
    <w:rsid w:val="000B6AED"/>
    <w:rsid w:val="000B6E31"/>
    <w:rsid w:val="000B6FCD"/>
    <w:rsid w:val="000B7904"/>
    <w:rsid w:val="000B7A01"/>
    <w:rsid w:val="000C1683"/>
    <w:rsid w:val="000C17AD"/>
    <w:rsid w:val="000C1BC4"/>
    <w:rsid w:val="000C294D"/>
    <w:rsid w:val="000C2CE8"/>
    <w:rsid w:val="000C3057"/>
    <w:rsid w:val="000C379D"/>
    <w:rsid w:val="000C4CDA"/>
    <w:rsid w:val="000C50DC"/>
    <w:rsid w:val="000C5CC3"/>
    <w:rsid w:val="000C654F"/>
    <w:rsid w:val="000C6FD2"/>
    <w:rsid w:val="000C7AD6"/>
    <w:rsid w:val="000D1081"/>
    <w:rsid w:val="000D1111"/>
    <w:rsid w:val="000D1DF5"/>
    <w:rsid w:val="000D1E64"/>
    <w:rsid w:val="000D2168"/>
    <w:rsid w:val="000D2ED0"/>
    <w:rsid w:val="000D78D8"/>
    <w:rsid w:val="000E02C1"/>
    <w:rsid w:val="000E0A9D"/>
    <w:rsid w:val="000E1DCB"/>
    <w:rsid w:val="000E1EB2"/>
    <w:rsid w:val="000E20CB"/>
    <w:rsid w:val="000E2D50"/>
    <w:rsid w:val="000E2E62"/>
    <w:rsid w:val="000E3263"/>
    <w:rsid w:val="000E3546"/>
    <w:rsid w:val="000E4769"/>
    <w:rsid w:val="000E48B6"/>
    <w:rsid w:val="000E6AFE"/>
    <w:rsid w:val="000E77AA"/>
    <w:rsid w:val="000F018F"/>
    <w:rsid w:val="000F07E7"/>
    <w:rsid w:val="000F08A9"/>
    <w:rsid w:val="000F0DAA"/>
    <w:rsid w:val="000F14FC"/>
    <w:rsid w:val="000F184C"/>
    <w:rsid w:val="000F35F4"/>
    <w:rsid w:val="000F3FFF"/>
    <w:rsid w:val="000F473A"/>
    <w:rsid w:val="000F49A4"/>
    <w:rsid w:val="000F52F3"/>
    <w:rsid w:val="000F6A51"/>
    <w:rsid w:val="000F7B9D"/>
    <w:rsid w:val="000F7D52"/>
    <w:rsid w:val="0010027F"/>
    <w:rsid w:val="001005B4"/>
    <w:rsid w:val="001008F9"/>
    <w:rsid w:val="00100E41"/>
    <w:rsid w:val="0010102E"/>
    <w:rsid w:val="001017DF"/>
    <w:rsid w:val="00104620"/>
    <w:rsid w:val="00105289"/>
    <w:rsid w:val="001065D2"/>
    <w:rsid w:val="00106677"/>
    <w:rsid w:val="00106B64"/>
    <w:rsid w:val="00107165"/>
    <w:rsid w:val="001071F7"/>
    <w:rsid w:val="0010780D"/>
    <w:rsid w:val="0010797F"/>
    <w:rsid w:val="00107F4D"/>
    <w:rsid w:val="00110C04"/>
    <w:rsid w:val="001123E5"/>
    <w:rsid w:val="00112CA2"/>
    <w:rsid w:val="00112D96"/>
    <w:rsid w:val="00112FEF"/>
    <w:rsid w:val="001146C4"/>
    <w:rsid w:val="00114C03"/>
    <w:rsid w:val="0011507C"/>
    <w:rsid w:val="00117EFE"/>
    <w:rsid w:val="00122699"/>
    <w:rsid w:val="00122ABF"/>
    <w:rsid w:val="00122C3E"/>
    <w:rsid w:val="00123C5B"/>
    <w:rsid w:val="001242C6"/>
    <w:rsid w:val="00125151"/>
    <w:rsid w:val="00126328"/>
    <w:rsid w:val="00131287"/>
    <w:rsid w:val="00131EE9"/>
    <w:rsid w:val="00132392"/>
    <w:rsid w:val="00132DD6"/>
    <w:rsid w:val="00134175"/>
    <w:rsid w:val="00135A64"/>
    <w:rsid w:val="00135B62"/>
    <w:rsid w:val="00136595"/>
    <w:rsid w:val="001366E8"/>
    <w:rsid w:val="00136C4F"/>
    <w:rsid w:val="00137A47"/>
    <w:rsid w:val="0014021C"/>
    <w:rsid w:val="00140C43"/>
    <w:rsid w:val="00140FEE"/>
    <w:rsid w:val="00141440"/>
    <w:rsid w:val="0014145F"/>
    <w:rsid w:val="001444FA"/>
    <w:rsid w:val="00144C09"/>
    <w:rsid w:val="00145BEF"/>
    <w:rsid w:val="00145EDE"/>
    <w:rsid w:val="00146493"/>
    <w:rsid w:val="00146672"/>
    <w:rsid w:val="00146D6F"/>
    <w:rsid w:val="00147374"/>
    <w:rsid w:val="0014766E"/>
    <w:rsid w:val="0014795F"/>
    <w:rsid w:val="00147BE4"/>
    <w:rsid w:val="0015265C"/>
    <w:rsid w:val="001527B5"/>
    <w:rsid w:val="001543BA"/>
    <w:rsid w:val="00154789"/>
    <w:rsid w:val="001552C9"/>
    <w:rsid w:val="001557ED"/>
    <w:rsid w:val="00156AC5"/>
    <w:rsid w:val="00157E5C"/>
    <w:rsid w:val="00160161"/>
    <w:rsid w:val="001605D5"/>
    <w:rsid w:val="00160B4F"/>
    <w:rsid w:val="00160C2A"/>
    <w:rsid w:val="00161267"/>
    <w:rsid w:val="001615FF"/>
    <w:rsid w:val="001620CE"/>
    <w:rsid w:val="001624D1"/>
    <w:rsid w:val="001639AA"/>
    <w:rsid w:val="00165184"/>
    <w:rsid w:val="001657E3"/>
    <w:rsid w:val="00166962"/>
    <w:rsid w:val="00166E7D"/>
    <w:rsid w:val="00167494"/>
    <w:rsid w:val="00167C56"/>
    <w:rsid w:val="00167DD0"/>
    <w:rsid w:val="001705D4"/>
    <w:rsid w:val="00170819"/>
    <w:rsid w:val="0017085E"/>
    <w:rsid w:val="001712C3"/>
    <w:rsid w:val="00172C8C"/>
    <w:rsid w:val="0017346E"/>
    <w:rsid w:val="00174C65"/>
    <w:rsid w:val="00175FCB"/>
    <w:rsid w:val="0017791A"/>
    <w:rsid w:val="00177AA9"/>
    <w:rsid w:val="00177EA7"/>
    <w:rsid w:val="0018039A"/>
    <w:rsid w:val="001817CB"/>
    <w:rsid w:val="00182442"/>
    <w:rsid w:val="00182455"/>
    <w:rsid w:val="00182D62"/>
    <w:rsid w:val="0018334E"/>
    <w:rsid w:val="00183387"/>
    <w:rsid w:val="0018428D"/>
    <w:rsid w:val="00184403"/>
    <w:rsid w:val="00185218"/>
    <w:rsid w:val="00185E14"/>
    <w:rsid w:val="001875DC"/>
    <w:rsid w:val="001878EF"/>
    <w:rsid w:val="00187AD0"/>
    <w:rsid w:val="00190911"/>
    <w:rsid w:val="001918DB"/>
    <w:rsid w:val="001921B3"/>
    <w:rsid w:val="00193034"/>
    <w:rsid w:val="00193096"/>
    <w:rsid w:val="00193BEE"/>
    <w:rsid w:val="00193F25"/>
    <w:rsid w:val="00195631"/>
    <w:rsid w:val="00195818"/>
    <w:rsid w:val="00195E58"/>
    <w:rsid w:val="001961D0"/>
    <w:rsid w:val="0019623B"/>
    <w:rsid w:val="001965E9"/>
    <w:rsid w:val="001977D6"/>
    <w:rsid w:val="001A07B4"/>
    <w:rsid w:val="001A17EA"/>
    <w:rsid w:val="001A3691"/>
    <w:rsid w:val="001A4624"/>
    <w:rsid w:val="001A4FD7"/>
    <w:rsid w:val="001A5843"/>
    <w:rsid w:val="001A64BC"/>
    <w:rsid w:val="001B2CF0"/>
    <w:rsid w:val="001B37F6"/>
    <w:rsid w:val="001B4A3C"/>
    <w:rsid w:val="001B6511"/>
    <w:rsid w:val="001B6A2A"/>
    <w:rsid w:val="001B6C0D"/>
    <w:rsid w:val="001B6D70"/>
    <w:rsid w:val="001B6E69"/>
    <w:rsid w:val="001B70CF"/>
    <w:rsid w:val="001B7B7A"/>
    <w:rsid w:val="001B7BB8"/>
    <w:rsid w:val="001C199B"/>
    <w:rsid w:val="001C1EB8"/>
    <w:rsid w:val="001C2CD2"/>
    <w:rsid w:val="001C486C"/>
    <w:rsid w:val="001C4B68"/>
    <w:rsid w:val="001C5284"/>
    <w:rsid w:val="001C5E13"/>
    <w:rsid w:val="001C75D7"/>
    <w:rsid w:val="001D12C0"/>
    <w:rsid w:val="001D20B4"/>
    <w:rsid w:val="001D3314"/>
    <w:rsid w:val="001D3455"/>
    <w:rsid w:val="001D41E8"/>
    <w:rsid w:val="001D4409"/>
    <w:rsid w:val="001D44AC"/>
    <w:rsid w:val="001D4942"/>
    <w:rsid w:val="001D4C2A"/>
    <w:rsid w:val="001D5530"/>
    <w:rsid w:val="001E0176"/>
    <w:rsid w:val="001E1FFE"/>
    <w:rsid w:val="001E2636"/>
    <w:rsid w:val="001E2E37"/>
    <w:rsid w:val="001E3980"/>
    <w:rsid w:val="001E536B"/>
    <w:rsid w:val="001E5838"/>
    <w:rsid w:val="001E5FE4"/>
    <w:rsid w:val="001E6000"/>
    <w:rsid w:val="001E63FD"/>
    <w:rsid w:val="001E7131"/>
    <w:rsid w:val="001E7B56"/>
    <w:rsid w:val="001F066B"/>
    <w:rsid w:val="001F2EE2"/>
    <w:rsid w:val="001F3032"/>
    <w:rsid w:val="001F365C"/>
    <w:rsid w:val="001F3842"/>
    <w:rsid w:val="001F49DC"/>
    <w:rsid w:val="001F5BEA"/>
    <w:rsid w:val="001F6370"/>
    <w:rsid w:val="00201476"/>
    <w:rsid w:val="002023D1"/>
    <w:rsid w:val="0020428C"/>
    <w:rsid w:val="00205125"/>
    <w:rsid w:val="00207635"/>
    <w:rsid w:val="0020773B"/>
    <w:rsid w:val="00210500"/>
    <w:rsid w:val="00210667"/>
    <w:rsid w:val="002108E2"/>
    <w:rsid w:val="00210C99"/>
    <w:rsid w:val="00210D09"/>
    <w:rsid w:val="0021113F"/>
    <w:rsid w:val="0021216A"/>
    <w:rsid w:val="002127F5"/>
    <w:rsid w:val="002133AA"/>
    <w:rsid w:val="00213F2B"/>
    <w:rsid w:val="00216883"/>
    <w:rsid w:val="00216957"/>
    <w:rsid w:val="00216C23"/>
    <w:rsid w:val="0021734B"/>
    <w:rsid w:val="00221042"/>
    <w:rsid w:val="002212BC"/>
    <w:rsid w:val="00221842"/>
    <w:rsid w:val="0022311D"/>
    <w:rsid w:val="0022334E"/>
    <w:rsid w:val="00223ECB"/>
    <w:rsid w:val="00224303"/>
    <w:rsid w:val="00224FBB"/>
    <w:rsid w:val="00225B0C"/>
    <w:rsid w:val="00226806"/>
    <w:rsid w:val="00227F02"/>
    <w:rsid w:val="00230307"/>
    <w:rsid w:val="00230431"/>
    <w:rsid w:val="00230C0E"/>
    <w:rsid w:val="002315B1"/>
    <w:rsid w:val="002319A6"/>
    <w:rsid w:val="00232180"/>
    <w:rsid w:val="0023308A"/>
    <w:rsid w:val="002331BD"/>
    <w:rsid w:val="002331DB"/>
    <w:rsid w:val="00233408"/>
    <w:rsid w:val="00233654"/>
    <w:rsid w:val="00233990"/>
    <w:rsid w:val="002354C5"/>
    <w:rsid w:val="0023578B"/>
    <w:rsid w:val="00235E63"/>
    <w:rsid w:val="002407DE"/>
    <w:rsid w:val="00241D58"/>
    <w:rsid w:val="0024498B"/>
    <w:rsid w:val="00244D9C"/>
    <w:rsid w:val="00245697"/>
    <w:rsid w:val="00246222"/>
    <w:rsid w:val="00246650"/>
    <w:rsid w:val="00246CAA"/>
    <w:rsid w:val="00246E4D"/>
    <w:rsid w:val="002510EF"/>
    <w:rsid w:val="00251548"/>
    <w:rsid w:val="002519E6"/>
    <w:rsid w:val="002522E3"/>
    <w:rsid w:val="00252C81"/>
    <w:rsid w:val="002537D9"/>
    <w:rsid w:val="0025401B"/>
    <w:rsid w:val="002544E9"/>
    <w:rsid w:val="002547AF"/>
    <w:rsid w:val="00255A92"/>
    <w:rsid w:val="00255AA3"/>
    <w:rsid w:val="00256FA1"/>
    <w:rsid w:val="0026140A"/>
    <w:rsid w:val="00262446"/>
    <w:rsid w:val="0026296E"/>
    <w:rsid w:val="00262E46"/>
    <w:rsid w:val="0026484F"/>
    <w:rsid w:val="002666A3"/>
    <w:rsid w:val="0026718C"/>
    <w:rsid w:val="0026736E"/>
    <w:rsid w:val="00270454"/>
    <w:rsid w:val="002727A6"/>
    <w:rsid w:val="00273427"/>
    <w:rsid w:val="0027407F"/>
    <w:rsid w:val="00274BBE"/>
    <w:rsid w:val="00276AEB"/>
    <w:rsid w:val="00277354"/>
    <w:rsid w:val="00277740"/>
    <w:rsid w:val="00277774"/>
    <w:rsid w:val="00277C41"/>
    <w:rsid w:val="002805DE"/>
    <w:rsid w:val="002806AC"/>
    <w:rsid w:val="002808FB"/>
    <w:rsid w:val="00280F0B"/>
    <w:rsid w:val="002812B2"/>
    <w:rsid w:val="00281705"/>
    <w:rsid w:val="002819BF"/>
    <w:rsid w:val="00281AFA"/>
    <w:rsid w:val="0028210E"/>
    <w:rsid w:val="002821BD"/>
    <w:rsid w:val="0028229A"/>
    <w:rsid w:val="0028342D"/>
    <w:rsid w:val="00284A94"/>
    <w:rsid w:val="0029020C"/>
    <w:rsid w:val="0029022E"/>
    <w:rsid w:val="00290625"/>
    <w:rsid w:val="00290B5A"/>
    <w:rsid w:val="00290E13"/>
    <w:rsid w:val="00290F75"/>
    <w:rsid w:val="00290FE6"/>
    <w:rsid w:val="00291D17"/>
    <w:rsid w:val="002937B5"/>
    <w:rsid w:val="002937CC"/>
    <w:rsid w:val="002938F0"/>
    <w:rsid w:val="00293AC9"/>
    <w:rsid w:val="00294079"/>
    <w:rsid w:val="0029426A"/>
    <w:rsid w:val="00294E7C"/>
    <w:rsid w:val="0029689C"/>
    <w:rsid w:val="00296976"/>
    <w:rsid w:val="0029733E"/>
    <w:rsid w:val="00297D8A"/>
    <w:rsid w:val="002A1661"/>
    <w:rsid w:val="002A4A0B"/>
    <w:rsid w:val="002A57BE"/>
    <w:rsid w:val="002A58C1"/>
    <w:rsid w:val="002A5AF2"/>
    <w:rsid w:val="002A7368"/>
    <w:rsid w:val="002A7E6D"/>
    <w:rsid w:val="002A7F23"/>
    <w:rsid w:val="002A7F7E"/>
    <w:rsid w:val="002B051F"/>
    <w:rsid w:val="002B1318"/>
    <w:rsid w:val="002B1A8E"/>
    <w:rsid w:val="002B2FF0"/>
    <w:rsid w:val="002B34C2"/>
    <w:rsid w:val="002B3EB3"/>
    <w:rsid w:val="002B496F"/>
    <w:rsid w:val="002B59E1"/>
    <w:rsid w:val="002B629A"/>
    <w:rsid w:val="002B6660"/>
    <w:rsid w:val="002B6D5E"/>
    <w:rsid w:val="002C02A3"/>
    <w:rsid w:val="002C0A00"/>
    <w:rsid w:val="002C0AAB"/>
    <w:rsid w:val="002C11DE"/>
    <w:rsid w:val="002C2C93"/>
    <w:rsid w:val="002C491D"/>
    <w:rsid w:val="002C51F8"/>
    <w:rsid w:val="002C52EA"/>
    <w:rsid w:val="002C56EE"/>
    <w:rsid w:val="002C5DC5"/>
    <w:rsid w:val="002C7432"/>
    <w:rsid w:val="002D08B3"/>
    <w:rsid w:val="002D0A2A"/>
    <w:rsid w:val="002D0BEF"/>
    <w:rsid w:val="002D0DB1"/>
    <w:rsid w:val="002D28D1"/>
    <w:rsid w:val="002D30EF"/>
    <w:rsid w:val="002D3F33"/>
    <w:rsid w:val="002D445D"/>
    <w:rsid w:val="002D44AD"/>
    <w:rsid w:val="002D45C7"/>
    <w:rsid w:val="002D4787"/>
    <w:rsid w:val="002D4E12"/>
    <w:rsid w:val="002D61A7"/>
    <w:rsid w:val="002D6F50"/>
    <w:rsid w:val="002D7DD0"/>
    <w:rsid w:val="002E1409"/>
    <w:rsid w:val="002E27D7"/>
    <w:rsid w:val="002E2FA4"/>
    <w:rsid w:val="002E4B59"/>
    <w:rsid w:val="002E4BEB"/>
    <w:rsid w:val="002E4C81"/>
    <w:rsid w:val="002E5178"/>
    <w:rsid w:val="002E5CFF"/>
    <w:rsid w:val="002E6C60"/>
    <w:rsid w:val="002E7B1E"/>
    <w:rsid w:val="002F029E"/>
    <w:rsid w:val="002F0D83"/>
    <w:rsid w:val="002F26F3"/>
    <w:rsid w:val="002F2AE6"/>
    <w:rsid w:val="002F337A"/>
    <w:rsid w:val="002F3819"/>
    <w:rsid w:val="002F381E"/>
    <w:rsid w:val="002F3AF5"/>
    <w:rsid w:val="002F3EA5"/>
    <w:rsid w:val="002F441E"/>
    <w:rsid w:val="002F475D"/>
    <w:rsid w:val="002F4C38"/>
    <w:rsid w:val="002F4DAE"/>
    <w:rsid w:val="002F4EDF"/>
    <w:rsid w:val="002F5B42"/>
    <w:rsid w:val="002F6820"/>
    <w:rsid w:val="002F6CF7"/>
    <w:rsid w:val="002F6E6B"/>
    <w:rsid w:val="002F79F6"/>
    <w:rsid w:val="00300F4C"/>
    <w:rsid w:val="00302196"/>
    <w:rsid w:val="003030EE"/>
    <w:rsid w:val="00303914"/>
    <w:rsid w:val="00304A42"/>
    <w:rsid w:val="00305315"/>
    <w:rsid w:val="00305B78"/>
    <w:rsid w:val="00306B02"/>
    <w:rsid w:val="00306CE4"/>
    <w:rsid w:val="0030772D"/>
    <w:rsid w:val="00310DF6"/>
    <w:rsid w:val="003118CD"/>
    <w:rsid w:val="00311ECB"/>
    <w:rsid w:val="00315629"/>
    <w:rsid w:val="0031619F"/>
    <w:rsid w:val="00320EB3"/>
    <w:rsid w:val="00323491"/>
    <w:rsid w:val="00324264"/>
    <w:rsid w:val="0032542E"/>
    <w:rsid w:val="003266E3"/>
    <w:rsid w:val="00327A01"/>
    <w:rsid w:val="00327BA8"/>
    <w:rsid w:val="003314DE"/>
    <w:rsid w:val="0033227A"/>
    <w:rsid w:val="0033281A"/>
    <w:rsid w:val="003330F8"/>
    <w:rsid w:val="0033427D"/>
    <w:rsid w:val="003344AF"/>
    <w:rsid w:val="003357E1"/>
    <w:rsid w:val="00335A5F"/>
    <w:rsid w:val="00335D1D"/>
    <w:rsid w:val="003370B9"/>
    <w:rsid w:val="00337748"/>
    <w:rsid w:val="0033795D"/>
    <w:rsid w:val="00340095"/>
    <w:rsid w:val="003402D4"/>
    <w:rsid w:val="00341539"/>
    <w:rsid w:val="0034185A"/>
    <w:rsid w:val="0034256A"/>
    <w:rsid w:val="00342A68"/>
    <w:rsid w:val="0034441B"/>
    <w:rsid w:val="003451A2"/>
    <w:rsid w:val="003451B4"/>
    <w:rsid w:val="00345860"/>
    <w:rsid w:val="00345E59"/>
    <w:rsid w:val="00346AA0"/>
    <w:rsid w:val="003512E2"/>
    <w:rsid w:val="003521DF"/>
    <w:rsid w:val="00352319"/>
    <w:rsid w:val="00352457"/>
    <w:rsid w:val="00352993"/>
    <w:rsid w:val="00354C47"/>
    <w:rsid w:val="00355F5C"/>
    <w:rsid w:val="00355FF0"/>
    <w:rsid w:val="00360C4C"/>
    <w:rsid w:val="0036174B"/>
    <w:rsid w:val="00364008"/>
    <w:rsid w:val="00365117"/>
    <w:rsid w:val="00366A39"/>
    <w:rsid w:val="00366C03"/>
    <w:rsid w:val="00367BAE"/>
    <w:rsid w:val="00367FC4"/>
    <w:rsid w:val="00370F49"/>
    <w:rsid w:val="00371E96"/>
    <w:rsid w:val="003725DB"/>
    <w:rsid w:val="0037310E"/>
    <w:rsid w:val="0037431A"/>
    <w:rsid w:val="0037454F"/>
    <w:rsid w:val="003752E1"/>
    <w:rsid w:val="003806AD"/>
    <w:rsid w:val="00380CAD"/>
    <w:rsid w:val="003825AA"/>
    <w:rsid w:val="00382A9A"/>
    <w:rsid w:val="00382C5D"/>
    <w:rsid w:val="00382FD0"/>
    <w:rsid w:val="003832B6"/>
    <w:rsid w:val="00384041"/>
    <w:rsid w:val="003853A1"/>
    <w:rsid w:val="003856B0"/>
    <w:rsid w:val="003876BC"/>
    <w:rsid w:val="003878D3"/>
    <w:rsid w:val="003907D3"/>
    <w:rsid w:val="00390BE6"/>
    <w:rsid w:val="00390E04"/>
    <w:rsid w:val="00391BE2"/>
    <w:rsid w:val="00392022"/>
    <w:rsid w:val="00392403"/>
    <w:rsid w:val="0039279C"/>
    <w:rsid w:val="00392AA2"/>
    <w:rsid w:val="00393A85"/>
    <w:rsid w:val="00395239"/>
    <w:rsid w:val="0039589B"/>
    <w:rsid w:val="003959E5"/>
    <w:rsid w:val="003A1671"/>
    <w:rsid w:val="003A1AC5"/>
    <w:rsid w:val="003A1DAD"/>
    <w:rsid w:val="003A3949"/>
    <w:rsid w:val="003A4DDB"/>
    <w:rsid w:val="003A50B1"/>
    <w:rsid w:val="003A5C1E"/>
    <w:rsid w:val="003A6981"/>
    <w:rsid w:val="003A7045"/>
    <w:rsid w:val="003B0BCF"/>
    <w:rsid w:val="003B11A2"/>
    <w:rsid w:val="003B146E"/>
    <w:rsid w:val="003B18E4"/>
    <w:rsid w:val="003B25B5"/>
    <w:rsid w:val="003B33C8"/>
    <w:rsid w:val="003B4825"/>
    <w:rsid w:val="003B4B7E"/>
    <w:rsid w:val="003B4DCB"/>
    <w:rsid w:val="003B5B29"/>
    <w:rsid w:val="003B5E0E"/>
    <w:rsid w:val="003B5E89"/>
    <w:rsid w:val="003B6C43"/>
    <w:rsid w:val="003B7471"/>
    <w:rsid w:val="003C0C62"/>
    <w:rsid w:val="003C1263"/>
    <w:rsid w:val="003C31BC"/>
    <w:rsid w:val="003C329A"/>
    <w:rsid w:val="003C4672"/>
    <w:rsid w:val="003C5A59"/>
    <w:rsid w:val="003C5B1C"/>
    <w:rsid w:val="003C5D78"/>
    <w:rsid w:val="003C63B2"/>
    <w:rsid w:val="003C6BDD"/>
    <w:rsid w:val="003C6E91"/>
    <w:rsid w:val="003C7638"/>
    <w:rsid w:val="003C779A"/>
    <w:rsid w:val="003D0CAC"/>
    <w:rsid w:val="003D0D54"/>
    <w:rsid w:val="003D1489"/>
    <w:rsid w:val="003D183C"/>
    <w:rsid w:val="003D3616"/>
    <w:rsid w:val="003D47AE"/>
    <w:rsid w:val="003D5850"/>
    <w:rsid w:val="003D696D"/>
    <w:rsid w:val="003D7446"/>
    <w:rsid w:val="003D7A3E"/>
    <w:rsid w:val="003D7D37"/>
    <w:rsid w:val="003D7D6D"/>
    <w:rsid w:val="003E0167"/>
    <w:rsid w:val="003E285E"/>
    <w:rsid w:val="003E3CED"/>
    <w:rsid w:val="003E4E73"/>
    <w:rsid w:val="003E51C3"/>
    <w:rsid w:val="003E51C9"/>
    <w:rsid w:val="003E5D80"/>
    <w:rsid w:val="003E6E0C"/>
    <w:rsid w:val="003E7032"/>
    <w:rsid w:val="003F2559"/>
    <w:rsid w:val="003F3610"/>
    <w:rsid w:val="003F3922"/>
    <w:rsid w:val="003F41E8"/>
    <w:rsid w:val="003F456F"/>
    <w:rsid w:val="003F5C28"/>
    <w:rsid w:val="003F661C"/>
    <w:rsid w:val="003F6AAB"/>
    <w:rsid w:val="003F6D7D"/>
    <w:rsid w:val="003F6FE1"/>
    <w:rsid w:val="004007A2"/>
    <w:rsid w:val="004012E7"/>
    <w:rsid w:val="00402CFC"/>
    <w:rsid w:val="004032D1"/>
    <w:rsid w:val="00403833"/>
    <w:rsid w:val="00405BA3"/>
    <w:rsid w:val="00405C01"/>
    <w:rsid w:val="00406150"/>
    <w:rsid w:val="00406B61"/>
    <w:rsid w:val="004072CC"/>
    <w:rsid w:val="00407A39"/>
    <w:rsid w:val="0041096B"/>
    <w:rsid w:val="00410D16"/>
    <w:rsid w:val="00411FA3"/>
    <w:rsid w:val="004126AA"/>
    <w:rsid w:val="00412731"/>
    <w:rsid w:val="00413BA4"/>
    <w:rsid w:val="00414303"/>
    <w:rsid w:val="00414F9B"/>
    <w:rsid w:val="004152A1"/>
    <w:rsid w:val="0041586D"/>
    <w:rsid w:val="0041617F"/>
    <w:rsid w:val="004161F9"/>
    <w:rsid w:val="0041639F"/>
    <w:rsid w:val="004165F7"/>
    <w:rsid w:val="00416C29"/>
    <w:rsid w:val="00417B1D"/>
    <w:rsid w:val="00421A27"/>
    <w:rsid w:val="0042255C"/>
    <w:rsid w:val="004228E7"/>
    <w:rsid w:val="004228FA"/>
    <w:rsid w:val="00423DAA"/>
    <w:rsid w:val="00423DB5"/>
    <w:rsid w:val="00425065"/>
    <w:rsid w:val="00425398"/>
    <w:rsid w:val="00425509"/>
    <w:rsid w:val="0042678E"/>
    <w:rsid w:val="0042692E"/>
    <w:rsid w:val="00426D85"/>
    <w:rsid w:val="00426E40"/>
    <w:rsid w:val="004274A2"/>
    <w:rsid w:val="00430E7A"/>
    <w:rsid w:val="00431AB9"/>
    <w:rsid w:val="004354D0"/>
    <w:rsid w:val="00436FA4"/>
    <w:rsid w:val="00437C66"/>
    <w:rsid w:val="00440082"/>
    <w:rsid w:val="00440E7D"/>
    <w:rsid w:val="00441103"/>
    <w:rsid w:val="0044131D"/>
    <w:rsid w:val="004440D3"/>
    <w:rsid w:val="004448AA"/>
    <w:rsid w:val="00445E05"/>
    <w:rsid w:val="0044631C"/>
    <w:rsid w:val="004467CD"/>
    <w:rsid w:val="004478BA"/>
    <w:rsid w:val="00447D90"/>
    <w:rsid w:val="00450E03"/>
    <w:rsid w:val="00452326"/>
    <w:rsid w:val="0045296F"/>
    <w:rsid w:val="00452A8D"/>
    <w:rsid w:val="00453184"/>
    <w:rsid w:val="00456CC8"/>
    <w:rsid w:val="004579B3"/>
    <w:rsid w:val="0046130C"/>
    <w:rsid w:val="004636FF"/>
    <w:rsid w:val="004638ED"/>
    <w:rsid w:val="00463C82"/>
    <w:rsid w:val="00463D3C"/>
    <w:rsid w:val="004648DF"/>
    <w:rsid w:val="0046532A"/>
    <w:rsid w:val="00466D06"/>
    <w:rsid w:val="00467A2F"/>
    <w:rsid w:val="00471443"/>
    <w:rsid w:val="004714AD"/>
    <w:rsid w:val="00472AFD"/>
    <w:rsid w:val="004745F1"/>
    <w:rsid w:val="00474DEA"/>
    <w:rsid w:val="00474FC9"/>
    <w:rsid w:val="00480A12"/>
    <w:rsid w:val="00481238"/>
    <w:rsid w:val="004812D6"/>
    <w:rsid w:val="004821C9"/>
    <w:rsid w:val="0048447D"/>
    <w:rsid w:val="0048463E"/>
    <w:rsid w:val="0048483D"/>
    <w:rsid w:val="004850A8"/>
    <w:rsid w:val="00486056"/>
    <w:rsid w:val="00486471"/>
    <w:rsid w:val="00486D96"/>
    <w:rsid w:val="00487027"/>
    <w:rsid w:val="00487FF5"/>
    <w:rsid w:val="0049245D"/>
    <w:rsid w:val="00492BBE"/>
    <w:rsid w:val="00493364"/>
    <w:rsid w:val="00494316"/>
    <w:rsid w:val="00494B72"/>
    <w:rsid w:val="004953D7"/>
    <w:rsid w:val="00497DE9"/>
    <w:rsid w:val="004A008F"/>
    <w:rsid w:val="004A047A"/>
    <w:rsid w:val="004A0502"/>
    <w:rsid w:val="004A0C22"/>
    <w:rsid w:val="004A1A44"/>
    <w:rsid w:val="004A1D35"/>
    <w:rsid w:val="004A356D"/>
    <w:rsid w:val="004A4966"/>
    <w:rsid w:val="004A553D"/>
    <w:rsid w:val="004A58F9"/>
    <w:rsid w:val="004A609F"/>
    <w:rsid w:val="004A6DBF"/>
    <w:rsid w:val="004A6FF6"/>
    <w:rsid w:val="004A774E"/>
    <w:rsid w:val="004A7EBF"/>
    <w:rsid w:val="004B06ED"/>
    <w:rsid w:val="004B1C87"/>
    <w:rsid w:val="004B3A64"/>
    <w:rsid w:val="004B49A3"/>
    <w:rsid w:val="004B54D2"/>
    <w:rsid w:val="004B550A"/>
    <w:rsid w:val="004B5974"/>
    <w:rsid w:val="004B59EC"/>
    <w:rsid w:val="004B5BAC"/>
    <w:rsid w:val="004B6677"/>
    <w:rsid w:val="004B7113"/>
    <w:rsid w:val="004C0654"/>
    <w:rsid w:val="004C1F2C"/>
    <w:rsid w:val="004C474C"/>
    <w:rsid w:val="004C4825"/>
    <w:rsid w:val="004C537D"/>
    <w:rsid w:val="004C5595"/>
    <w:rsid w:val="004C5DEF"/>
    <w:rsid w:val="004C619A"/>
    <w:rsid w:val="004D0383"/>
    <w:rsid w:val="004D05CD"/>
    <w:rsid w:val="004D0845"/>
    <w:rsid w:val="004D17A4"/>
    <w:rsid w:val="004D1CF6"/>
    <w:rsid w:val="004D1E35"/>
    <w:rsid w:val="004D28EA"/>
    <w:rsid w:val="004D2B2B"/>
    <w:rsid w:val="004D35DB"/>
    <w:rsid w:val="004D4483"/>
    <w:rsid w:val="004D6F1F"/>
    <w:rsid w:val="004D760D"/>
    <w:rsid w:val="004D7BCC"/>
    <w:rsid w:val="004E0121"/>
    <w:rsid w:val="004E1AD7"/>
    <w:rsid w:val="004E3779"/>
    <w:rsid w:val="004E387C"/>
    <w:rsid w:val="004E3888"/>
    <w:rsid w:val="004E4AF7"/>
    <w:rsid w:val="004E4EEC"/>
    <w:rsid w:val="004E5DA9"/>
    <w:rsid w:val="004E617C"/>
    <w:rsid w:val="004E67E1"/>
    <w:rsid w:val="004E6DA6"/>
    <w:rsid w:val="004F00CF"/>
    <w:rsid w:val="004F0C8E"/>
    <w:rsid w:val="004F2965"/>
    <w:rsid w:val="004F352E"/>
    <w:rsid w:val="004F3936"/>
    <w:rsid w:val="004F49F1"/>
    <w:rsid w:val="004F4AA5"/>
    <w:rsid w:val="004F4B48"/>
    <w:rsid w:val="004F6F19"/>
    <w:rsid w:val="004F7FFA"/>
    <w:rsid w:val="005005C0"/>
    <w:rsid w:val="00502410"/>
    <w:rsid w:val="00502DF7"/>
    <w:rsid w:val="00504954"/>
    <w:rsid w:val="00504976"/>
    <w:rsid w:val="00504C24"/>
    <w:rsid w:val="00506556"/>
    <w:rsid w:val="00506942"/>
    <w:rsid w:val="00507165"/>
    <w:rsid w:val="005076F0"/>
    <w:rsid w:val="00511530"/>
    <w:rsid w:val="00511DBE"/>
    <w:rsid w:val="00512414"/>
    <w:rsid w:val="00512942"/>
    <w:rsid w:val="00512A06"/>
    <w:rsid w:val="0051378E"/>
    <w:rsid w:val="00513C41"/>
    <w:rsid w:val="00513E7D"/>
    <w:rsid w:val="0051632D"/>
    <w:rsid w:val="00517BC9"/>
    <w:rsid w:val="00520427"/>
    <w:rsid w:val="005207D3"/>
    <w:rsid w:val="00521EC8"/>
    <w:rsid w:val="00522DAA"/>
    <w:rsid w:val="00524260"/>
    <w:rsid w:val="005242D4"/>
    <w:rsid w:val="005243F6"/>
    <w:rsid w:val="005244A1"/>
    <w:rsid w:val="00525F73"/>
    <w:rsid w:val="0052777B"/>
    <w:rsid w:val="005278A9"/>
    <w:rsid w:val="00530464"/>
    <w:rsid w:val="00533A2D"/>
    <w:rsid w:val="0053564D"/>
    <w:rsid w:val="00535C3A"/>
    <w:rsid w:val="00535C56"/>
    <w:rsid w:val="005374A5"/>
    <w:rsid w:val="00537528"/>
    <w:rsid w:val="00540A9D"/>
    <w:rsid w:val="00540DCE"/>
    <w:rsid w:val="00541421"/>
    <w:rsid w:val="00541484"/>
    <w:rsid w:val="00544113"/>
    <w:rsid w:val="00544952"/>
    <w:rsid w:val="00546129"/>
    <w:rsid w:val="00546327"/>
    <w:rsid w:val="00546C5C"/>
    <w:rsid w:val="005475DB"/>
    <w:rsid w:val="005476D2"/>
    <w:rsid w:val="00552947"/>
    <w:rsid w:val="00552C53"/>
    <w:rsid w:val="00554686"/>
    <w:rsid w:val="00554AE6"/>
    <w:rsid w:val="005552A6"/>
    <w:rsid w:val="005554AA"/>
    <w:rsid w:val="00555B87"/>
    <w:rsid w:val="00556750"/>
    <w:rsid w:val="00556B5E"/>
    <w:rsid w:val="00560AC5"/>
    <w:rsid w:val="00560B99"/>
    <w:rsid w:val="00563458"/>
    <w:rsid w:val="005634DA"/>
    <w:rsid w:val="00563A49"/>
    <w:rsid w:val="00564423"/>
    <w:rsid w:val="00564509"/>
    <w:rsid w:val="00564E42"/>
    <w:rsid w:val="00566461"/>
    <w:rsid w:val="005665FE"/>
    <w:rsid w:val="005666A7"/>
    <w:rsid w:val="00566C7F"/>
    <w:rsid w:val="00566F07"/>
    <w:rsid w:val="00567A17"/>
    <w:rsid w:val="00567B64"/>
    <w:rsid w:val="0057146A"/>
    <w:rsid w:val="005733B5"/>
    <w:rsid w:val="00573436"/>
    <w:rsid w:val="0057344D"/>
    <w:rsid w:val="0057350D"/>
    <w:rsid w:val="00573B2F"/>
    <w:rsid w:val="005744B3"/>
    <w:rsid w:val="00574A72"/>
    <w:rsid w:val="0057512D"/>
    <w:rsid w:val="00575C63"/>
    <w:rsid w:val="00575DE1"/>
    <w:rsid w:val="00575DE7"/>
    <w:rsid w:val="00577311"/>
    <w:rsid w:val="005806A5"/>
    <w:rsid w:val="00581DB1"/>
    <w:rsid w:val="0058437A"/>
    <w:rsid w:val="00585520"/>
    <w:rsid w:val="0058670A"/>
    <w:rsid w:val="00586DE2"/>
    <w:rsid w:val="005900EC"/>
    <w:rsid w:val="005908F9"/>
    <w:rsid w:val="00592313"/>
    <w:rsid w:val="00593312"/>
    <w:rsid w:val="00593AE8"/>
    <w:rsid w:val="00594182"/>
    <w:rsid w:val="005942B0"/>
    <w:rsid w:val="0059458B"/>
    <w:rsid w:val="0059493E"/>
    <w:rsid w:val="00595245"/>
    <w:rsid w:val="00595488"/>
    <w:rsid w:val="0059595D"/>
    <w:rsid w:val="00595FA1"/>
    <w:rsid w:val="00596D01"/>
    <w:rsid w:val="005A0728"/>
    <w:rsid w:val="005A1348"/>
    <w:rsid w:val="005A22B7"/>
    <w:rsid w:val="005A22DD"/>
    <w:rsid w:val="005A28A8"/>
    <w:rsid w:val="005A3575"/>
    <w:rsid w:val="005A386D"/>
    <w:rsid w:val="005A73FA"/>
    <w:rsid w:val="005A75DF"/>
    <w:rsid w:val="005A7945"/>
    <w:rsid w:val="005B07F2"/>
    <w:rsid w:val="005B0F53"/>
    <w:rsid w:val="005B2198"/>
    <w:rsid w:val="005B27A0"/>
    <w:rsid w:val="005B2A42"/>
    <w:rsid w:val="005B3887"/>
    <w:rsid w:val="005B3CEC"/>
    <w:rsid w:val="005B3D52"/>
    <w:rsid w:val="005B4A5C"/>
    <w:rsid w:val="005B4ABA"/>
    <w:rsid w:val="005B5265"/>
    <w:rsid w:val="005B6485"/>
    <w:rsid w:val="005B6F73"/>
    <w:rsid w:val="005B778B"/>
    <w:rsid w:val="005C24A5"/>
    <w:rsid w:val="005C26A2"/>
    <w:rsid w:val="005C34CB"/>
    <w:rsid w:val="005C3E02"/>
    <w:rsid w:val="005C42DD"/>
    <w:rsid w:val="005C48E5"/>
    <w:rsid w:val="005C5B1F"/>
    <w:rsid w:val="005C707F"/>
    <w:rsid w:val="005D1062"/>
    <w:rsid w:val="005D14C9"/>
    <w:rsid w:val="005D1A44"/>
    <w:rsid w:val="005D1BE6"/>
    <w:rsid w:val="005D2CA0"/>
    <w:rsid w:val="005D3BF1"/>
    <w:rsid w:val="005D4964"/>
    <w:rsid w:val="005D4C55"/>
    <w:rsid w:val="005D515C"/>
    <w:rsid w:val="005D62F5"/>
    <w:rsid w:val="005D6856"/>
    <w:rsid w:val="005D699A"/>
    <w:rsid w:val="005E0150"/>
    <w:rsid w:val="005E02F2"/>
    <w:rsid w:val="005E0907"/>
    <w:rsid w:val="005E344E"/>
    <w:rsid w:val="005E3F74"/>
    <w:rsid w:val="005E4353"/>
    <w:rsid w:val="005E5FBC"/>
    <w:rsid w:val="005E6D67"/>
    <w:rsid w:val="005E6F17"/>
    <w:rsid w:val="005E7873"/>
    <w:rsid w:val="005F5568"/>
    <w:rsid w:val="005F56E8"/>
    <w:rsid w:val="005F73CC"/>
    <w:rsid w:val="005F7865"/>
    <w:rsid w:val="00600B3F"/>
    <w:rsid w:val="00601586"/>
    <w:rsid w:val="006015B8"/>
    <w:rsid w:val="00601C6F"/>
    <w:rsid w:val="00601C98"/>
    <w:rsid w:val="00601D3B"/>
    <w:rsid w:val="00602B0C"/>
    <w:rsid w:val="006041BE"/>
    <w:rsid w:val="006041C2"/>
    <w:rsid w:val="00604C6E"/>
    <w:rsid w:val="006052FE"/>
    <w:rsid w:val="00605CC0"/>
    <w:rsid w:val="00605D83"/>
    <w:rsid w:val="00606930"/>
    <w:rsid w:val="006072E9"/>
    <w:rsid w:val="00611346"/>
    <w:rsid w:val="006128D8"/>
    <w:rsid w:val="00613677"/>
    <w:rsid w:val="00614B90"/>
    <w:rsid w:val="0061697F"/>
    <w:rsid w:val="0061707A"/>
    <w:rsid w:val="00617700"/>
    <w:rsid w:val="006177DC"/>
    <w:rsid w:val="006200B8"/>
    <w:rsid w:val="00620F35"/>
    <w:rsid w:val="00622862"/>
    <w:rsid w:val="00623FF0"/>
    <w:rsid w:val="006245AE"/>
    <w:rsid w:val="00625498"/>
    <w:rsid w:val="00625DF7"/>
    <w:rsid w:val="00626BB1"/>
    <w:rsid w:val="00627255"/>
    <w:rsid w:val="0062737A"/>
    <w:rsid w:val="006301AA"/>
    <w:rsid w:val="00630813"/>
    <w:rsid w:val="0063174C"/>
    <w:rsid w:val="0063194E"/>
    <w:rsid w:val="00635C1B"/>
    <w:rsid w:val="0063672F"/>
    <w:rsid w:val="006371F7"/>
    <w:rsid w:val="00637454"/>
    <w:rsid w:val="00637722"/>
    <w:rsid w:val="00640752"/>
    <w:rsid w:val="00640C5B"/>
    <w:rsid w:val="00641DCF"/>
    <w:rsid w:val="00642072"/>
    <w:rsid w:val="00642851"/>
    <w:rsid w:val="00643384"/>
    <w:rsid w:val="00643CE8"/>
    <w:rsid w:val="006447A3"/>
    <w:rsid w:val="006457B4"/>
    <w:rsid w:val="006463F8"/>
    <w:rsid w:val="00646B35"/>
    <w:rsid w:val="00646E2D"/>
    <w:rsid w:val="00647675"/>
    <w:rsid w:val="00647ACE"/>
    <w:rsid w:val="0065104F"/>
    <w:rsid w:val="00651AA9"/>
    <w:rsid w:val="00651E35"/>
    <w:rsid w:val="0065205A"/>
    <w:rsid w:val="0065316E"/>
    <w:rsid w:val="0065320F"/>
    <w:rsid w:val="00653545"/>
    <w:rsid w:val="00653717"/>
    <w:rsid w:val="00654B94"/>
    <w:rsid w:val="00654FF5"/>
    <w:rsid w:val="0065533F"/>
    <w:rsid w:val="00655FC4"/>
    <w:rsid w:val="00656230"/>
    <w:rsid w:val="00656633"/>
    <w:rsid w:val="00656C70"/>
    <w:rsid w:val="006573E1"/>
    <w:rsid w:val="00657C6C"/>
    <w:rsid w:val="006600AF"/>
    <w:rsid w:val="006610A0"/>
    <w:rsid w:val="00662135"/>
    <w:rsid w:val="0066239D"/>
    <w:rsid w:val="00663319"/>
    <w:rsid w:val="006649D1"/>
    <w:rsid w:val="00664D66"/>
    <w:rsid w:val="00666A48"/>
    <w:rsid w:val="006672FD"/>
    <w:rsid w:val="00670E99"/>
    <w:rsid w:val="00671B41"/>
    <w:rsid w:val="00671D8E"/>
    <w:rsid w:val="00671DEF"/>
    <w:rsid w:val="006736E8"/>
    <w:rsid w:val="006737FA"/>
    <w:rsid w:val="006738D5"/>
    <w:rsid w:val="0067411D"/>
    <w:rsid w:val="00680F39"/>
    <w:rsid w:val="00682F2A"/>
    <w:rsid w:val="00683657"/>
    <w:rsid w:val="0068380B"/>
    <w:rsid w:val="00683A1E"/>
    <w:rsid w:val="00683CB1"/>
    <w:rsid w:val="00683D1D"/>
    <w:rsid w:val="00684402"/>
    <w:rsid w:val="00685493"/>
    <w:rsid w:val="00685812"/>
    <w:rsid w:val="0068755D"/>
    <w:rsid w:val="0069060E"/>
    <w:rsid w:val="00690945"/>
    <w:rsid w:val="00691342"/>
    <w:rsid w:val="006916AC"/>
    <w:rsid w:val="00691E9F"/>
    <w:rsid w:val="00692F3A"/>
    <w:rsid w:val="0069390A"/>
    <w:rsid w:val="00693F09"/>
    <w:rsid w:val="0069413A"/>
    <w:rsid w:val="00695D02"/>
    <w:rsid w:val="00696F7E"/>
    <w:rsid w:val="00697216"/>
    <w:rsid w:val="006A06CF"/>
    <w:rsid w:val="006A0DA2"/>
    <w:rsid w:val="006A2263"/>
    <w:rsid w:val="006A31F5"/>
    <w:rsid w:val="006A33E9"/>
    <w:rsid w:val="006A4F30"/>
    <w:rsid w:val="006A5EB4"/>
    <w:rsid w:val="006A5FE4"/>
    <w:rsid w:val="006A65A9"/>
    <w:rsid w:val="006A6B0D"/>
    <w:rsid w:val="006A71D5"/>
    <w:rsid w:val="006A7F56"/>
    <w:rsid w:val="006B04B5"/>
    <w:rsid w:val="006B34EC"/>
    <w:rsid w:val="006B3E00"/>
    <w:rsid w:val="006B498E"/>
    <w:rsid w:val="006B5966"/>
    <w:rsid w:val="006B630A"/>
    <w:rsid w:val="006B7812"/>
    <w:rsid w:val="006C0C29"/>
    <w:rsid w:val="006C1490"/>
    <w:rsid w:val="006C16CF"/>
    <w:rsid w:val="006C242D"/>
    <w:rsid w:val="006C2B73"/>
    <w:rsid w:val="006C2C6F"/>
    <w:rsid w:val="006C3B51"/>
    <w:rsid w:val="006C4553"/>
    <w:rsid w:val="006C4E06"/>
    <w:rsid w:val="006C5587"/>
    <w:rsid w:val="006C5D74"/>
    <w:rsid w:val="006C5FFF"/>
    <w:rsid w:val="006C6AD0"/>
    <w:rsid w:val="006D193A"/>
    <w:rsid w:val="006D1C3C"/>
    <w:rsid w:val="006D2266"/>
    <w:rsid w:val="006D2A5A"/>
    <w:rsid w:val="006D3353"/>
    <w:rsid w:val="006D3F23"/>
    <w:rsid w:val="006D42D5"/>
    <w:rsid w:val="006D552D"/>
    <w:rsid w:val="006D63A2"/>
    <w:rsid w:val="006D6A11"/>
    <w:rsid w:val="006D6C09"/>
    <w:rsid w:val="006D7810"/>
    <w:rsid w:val="006D7FF1"/>
    <w:rsid w:val="006E0632"/>
    <w:rsid w:val="006E1CEF"/>
    <w:rsid w:val="006E1FC1"/>
    <w:rsid w:val="006E2166"/>
    <w:rsid w:val="006E221D"/>
    <w:rsid w:val="006E22BF"/>
    <w:rsid w:val="006E2FF4"/>
    <w:rsid w:val="006E3483"/>
    <w:rsid w:val="006E457D"/>
    <w:rsid w:val="006E46A7"/>
    <w:rsid w:val="006E4822"/>
    <w:rsid w:val="006E553C"/>
    <w:rsid w:val="006E5923"/>
    <w:rsid w:val="006E60DE"/>
    <w:rsid w:val="006E6B09"/>
    <w:rsid w:val="006E6EBA"/>
    <w:rsid w:val="006E782F"/>
    <w:rsid w:val="006F1CD6"/>
    <w:rsid w:val="006F203D"/>
    <w:rsid w:val="006F2D32"/>
    <w:rsid w:val="006F2E2F"/>
    <w:rsid w:val="006F33FB"/>
    <w:rsid w:val="006F33FC"/>
    <w:rsid w:val="006F3F48"/>
    <w:rsid w:val="006F482E"/>
    <w:rsid w:val="006F48EC"/>
    <w:rsid w:val="006F70C7"/>
    <w:rsid w:val="00700CDC"/>
    <w:rsid w:val="00703589"/>
    <w:rsid w:val="00703DC8"/>
    <w:rsid w:val="00704A1C"/>
    <w:rsid w:val="007051FB"/>
    <w:rsid w:val="0070560E"/>
    <w:rsid w:val="007062F6"/>
    <w:rsid w:val="00706D96"/>
    <w:rsid w:val="00707185"/>
    <w:rsid w:val="00710066"/>
    <w:rsid w:val="007111BF"/>
    <w:rsid w:val="00711BEE"/>
    <w:rsid w:val="00711E51"/>
    <w:rsid w:val="00713943"/>
    <w:rsid w:val="00716652"/>
    <w:rsid w:val="00721AAE"/>
    <w:rsid w:val="007225C0"/>
    <w:rsid w:val="00723AD2"/>
    <w:rsid w:val="00724129"/>
    <w:rsid w:val="00724691"/>
    <w:rsid w:val="00724BA1"/>
    <w:rsid w:val="00724F51"/>
    <w:rsid w:val="00725BB7"/>
    <w:rsid w:val="007268F8"/>
    <w:rsid w:val="00727055"/>
    <w:rsid w:val="007310D5"/>
    <w:rsid w:val="00732375"/>
    <w:rsid w:val="0073279C"/>
    <w:rsid w:val="007331ED"/>
    <w:rsid w:val="007335E5"/>
    <w:rsid w:val="00733BDB"/>
    <w:rsid w:val="007345EC"/>
    <w:rsid w:val="00734F0A"/>
    <w:rsid w:val="00734F4E"/>
    <w:rsid w:val="0073534E"/>
    <w:rsid w:val="00736FD4"/>
    <w:rsid w:val="00737016"/>
    <w:rsid w:val="007376DF"/>
    <w:rsid w:val="00737711"/>
    <w:rsid w:val="0073779A"/>
    <w:rsid w:val="00741EB6"/>
    <w:rsid w:val="00742AD5"/>
    <w:rsid w:val="00743533"/>
    <w:rsid w:val="0074429F"/>
    <w:rsid w:val="00744907"/>
    <w:rsid w:val="00744AAE"/>
    <w:rsid w:val="00746EDC"/>
    <w:rsid w:val="007478E0"/>
    <w:rsid w:val="007500A9"/>
    <w:rsid w:val="00750E91"/>
    <w:rsid w:val="00751056"/>
    <w:rsid w:val="00751A99"/>
    <w:rsid w:val="00751FB3"/>
    <w:rsid w:val="0075271D"/>
    <w:rsid w:val="0075322F"/>
    <w:rsid w:val="0075358D"/>
    <w:rsid w:val="00754627"/>
    <w:rsid w:val="007548EF"/>
    <w:rsid w:val="007549DD"/>
    <w:rsid w:val="00754A48"/>
    <w:rsid w:val="00754FBC"/>
    <w:rsid w:val="007552F9"/>
    <w:rsid w:val="007565CF"/>
    <w:rsid w:val="007566B5"/>
    <w:rsid w:val="007571D5"/>
    <w:rsid w:val="0075772A"/>
    <w:rsid w:val="0076060B"/>
    <w:rsid w:val="007611B2"/>
    <w:rsid w:val="0076146C"/>
    <w:rsid w:val="00761808"/>
    <w:rsid w:val="007624DA"/>
    <w:rsid w:val="00762AC9"/>
    <w:rsid w:val="00763EE5"/>
    <w:rsid w:val="007640A5"/>
    <w:rsid w:val="007653D1"/>
    <w:rsid w:val="007654FF"/>
    <w:rsid w:val="007656DF"/>
    <w:rsid w:val="00765728"/>
    <w:rsid w:val="00765C85"/>
    <w:rsid w:val="00766FF7"/>
    <w:rsid w:val="00767828"/>
    <w:rsid w:val="00770C5E"/>
    <w:rsid w:val="00772B69"/>
    <w:rsid w:val="0077387B"/>
    <w:rsid w:val="00773968"/>
    <w:rsid w:val="00774227"/>
    <w:rsid w:val="0077504E"/>
    <w:rsid w:val="007752F5"/>
    <w:rsid w:val="00776CC9"/>
    <w:rsid w:val="00776D13"/>
    <w:rsid w:val="007771B5"/>
    <w:rsid w:val="00780315"/>
    <w:rsid w:val="00780E40"/>
    <w:rsid w:val="007829CB"/>
    <w:rsid w:val="00782D14"/>
    <w:rsid w:val="00782DFD"/>
    <w:rsid w:val="007836A7"/>
    <w:rsid w:val="0078404C"/>
    <w:rsid w:val="007861D2"/>
    <w:rsid w:val="0078654C"/>
    <w:rsid w:val="00786D4E"/>
    <w:rsid w:val="00786F7C"/>
    <w:rsid w:val="00787215"/>
    <w:rsid w:val="00791698"/>
    <w:rsid w:val="0079170D"/>
    <w:rsid w:val="00791CEB"/>
    <w:rsid w:val="00793B2A"/>
    <w:rsid w:val="007945EB"/>
    <w:rsid w:val="00794B13"/>
    <w:rsid w:val="00795814"/>
    <w:rsid w:val="00795B42"/>
    <w:rsid w:val="00796BEB"/>
    <w:rsid w:val="0079744C"/>
    <w:rsid w:val="00797468"/>
    <w:rsid w:val="0079750E"/>
    <w:rsid w:val="007A0236"/>
    <w:rsid w:val="007A0CA7"/>
    <w:rsid w:val="007A1402"/>
    <w:rsid w:val="007A1784"/>
    <w:rsid w:val="007A2052"/>
    <w:rsid w:val="007A20FA"/>
    <w:rsid w:val="007A25D7"/>
    <w:rsid w:val="007A2606"/>
    <w:rsid w:val="007A3C6F"/>
    <w:rsid w:val="007A5848"/>
    <w:rsid w:val="007A5CA2"/>
    <w:rsid w:val="007A5E1E"/>
    <w:rsid w:val="007A6331"/>
    <w:rsid w:val="007A6EBC"/>
    <w:rsid w:val="007A7194"/>
    <w:rsid w:val="007B0298"/>
    <w:rsid w:val="007B07AA"/>
    <w:rsid w:val="007B09DC"/>
    <w:rsid w:val="007B102C"/>
    <w:rsid w:val="007B371D"/>
    <w:rsid w:val="007B3C77"/>
    <w:rsid w:val="007B3D36"/>
    <w:rsid w:val="007B4768"/>
    <w:rsid w:val="007B4B87"/>
    <w:rsid w:val="007B58C3"/>
    <w:rsid w:val="007B5F61"/>
    <w:rsid w:val="007B627C"/>
    <w:rsid w:val="007B75A3"/>
    <w:rsid w:val="007B76F4"/>
    <w:rsid w:val="007B7D69"/>
    <w:rsid w:val="007C20B6"/>
    <w:rsid w:val="007C21CD"/>
    <w:rsid w:val="007C49BA"/>
    <w:rsid w:val="007C7705"/>
    <w:rsid w:val="007C7E23"/>
    <w:rsid w:val="007C7F0F"/>
    <w:rsid w:val="007D0011"/>
    <w:rsid w:val="007D12FC"/>
    <w:rsid w:val="007D355B"/>
    <w:rsid w:val="007D3BF3"/>
    <w:rsid w:val="007D4991"/>
    <w:rsid w:val="007D4997"/>
    <w:rsid w:val="007D7AA5"/>
    <w:rsid w:val="007D7D97"/>
    <w:rsid w:val="007E00F8"/>
    <w:rsid w:val="007E128F"/>
    <w:rsid w:val="007E13E7"/>
    <w:rsid w:val="007E1905"/>
    <w:rsid w:val="007E1D62"/>
    <w:rsid w:val="007E1E01"/>
    <w:rsid w:val="007E26A1"/>
    <w:rsid w:val="007E2F23"/>
    <w:rsid w:val="007E337B"/>
    <w:rsid w:val="007E34D7"/>
    <w:rsid w:val="007E3702"/>
    <w:rsid w:val="007E4100"/>
    <w:rsid w:val="007E5290"/>
    <w:rsid w:val="007E54E5"/>
    <w:rsid w:val="007E6C66"/>
    <w:rsid w:val="007E7036"/>
    <w:rsid w:val="007F039D"/>
    <w:rsid w:val="007F0C72"/>
    <w:rsid w:val="007F158D"/>
    <w:rsid w:val="007F21E5"/>
    <w:rsid w:val="007F432C"/>
    <w:rsid w:val="007F4484"/>
    <w:rsid w:val="007F525A"/>
    <w:rsid w:val="007F700B"/>
    <w:rsid w:val="007F7071"/>
    <w:rsid w:val="007F7FA1"/>
    <w:rsid w:val="00800E8A"/>
    <w:rsid w:val="00800ED2"/>
    <w:rsid w:val="0080252A"/>
    <w:rsid w:val="00802B7A"/>
    <w:rsid w:val="008044AF"/>
    <w:rsid w:val="0080463E"/>
    <w:rsid w:val="00805BEC"/>
    <w:rsid w:val="008061C9"/>
    <w:rsid w:val="0080721A"/>
    <w:rsid w:val="00810F26"/>
    <w:rsid w:val="008112BC"/>
    <w:rsid w:val="00812860"/>
    <w:rsid w:val="0081353E"/>
    <w:rsid w:val="00813DA4"/>
    <w:rsid w:val="00813EE4"/>
    <w:rsid w:val="0081485A"/>
    <w:rsid w:val="00814A88"/>
    <w:rsid w:val="0081539E"/>
    <w:rsid w:val="00816933"/>
    <w:rsid w:val="0081695B"/>
    <w:rsid w:val="00816B19"/>
    <w:rsid w:val="00816DDC"/>
    <w:rsid w:val="00817DDC"/>
    <w:rsid w:val="008202C7"/>
    <w:rsid w:val="00820373"/>
    <w:rsid w:val="008215C0"/>
    <w:rsid w:val="0082214B"/>
    <w:rsid w:val="008226A1"/>
    <w:rsid w:val="00823C6E"/>
    <w:rsid w:val="00823FAB"/>
    <w:rsid w:val="0082431B"/>
    <w:rsid w:val="008248BD"/>
    <w:rsid w:val="008269F4"/>
    <w:rsid w:val="00826E48"/>
    <w:rsid w:val="0082706E"/>
    <w:rsid w:val="008272D9"/>
    <w:rsid w:val="00831BB6"/>
    <w:rsid w:val="00832097"/>
    <w:rsid w:val="008332AE"/>
    <w:rsid w:val="008342C1"/>
    <w:rsid w:val="00835B2B"/>
    <w:rsid w:val="00836444"/>
    <w:rsid w:val="008408E3"/>
    <w:rsid w:val="00840DC4"/>
    <w:rsid w:val="00842200"/>
    <w:rsid w:val="00842206"/>
    <w:rsid w:val="00842395"/>
    <w:rsid w:val="008425CF"/>
    <w:rsid w:val="0084450A"/>
    <w:rsid w:val="008445A4"/>
    <w:rsid w:val="00844FE5"/>
    <w:rsid w:val="008460E4"/>
    <w:rsid w:val="008465FF"/>
    <w:rsid w:val="0084723E"/>
    <w:rsid w:val="00847DB7"/>
    <w:rsid w:val="0085378C"/>
    <w:rsid w:val="00853BDC"/>
    <w:rsid w:val="008547F6"/>
    <w:rsid w:val="00855F98"/>
    <w:rsid w:val="00861150"/>
    <w:rsid w:val="00861FC5"/>
    <w:rsid w:val="00863BDD"/>
    <w:rsid w:val="00866AC4"/>
    <w:rsid w:val="00867FC3"/>
    <w:rsid w:val="00872441"/>
    <w:rsid w:val="00873F19"/>
    <w:rsid w:val="008803E0"/>
    <w:rsid w:val="0088050A"/>
    <w:rsid w:val="00880B87"/>
    <w:rsid w:val="00881624"/>
    <w:rsid w:val="00881831"/>
    <w:rsid w:val="00881BC2"/>
    <w:rsid w:val="008822AB"/>
    <w:rsid w:val="00882D93"/>
    <w:rsid w:val="0088428F"/>
    <w:rsid w:val="00884574"/>
    <w:rsid w:val="00884A13"/>
    <w:rsid w:val="00884C39"/>
    <w:rsid w:val="00884D47"/>
    <w:rsid w:val="00884DAE"/>
    <w:rsid w:val="008852EE"/>
    <w:rsid w:val="00885B6C"/>
    <w:rsid w:val="00885DA4"/>
    <w:rsid w:val="008862AF"/>
    <w:rsid w:val="00887ACC"/>
    <w:rsid w:val="00890ACA"/>
    <w:rsid w:val="00891399"/>
    <w:rsid w:val="00892A46"/>
    <w:rsid w:val="00892BE4"/>
    <w:rsid w:val="00893FE8"/>
    <w:rsid w:val="00894BC1"/>
    <w:rsid w:val="00895B66"/>
    <w:rsid w:val="008961B0"/>
    <w:rsid w:val="00896493"/>
    <w:rsid w:val="00896AB8"/>
    <w:rsid w:val="008973D9"/>
    <w:rsid w:val="008977AF"/>
    <w:rsid w:val="008A0B00"/>
    <w:rsid w:val="008A19EF"/>
    <w:rsid w:val="008A29F4"/>
    <w:rsid w:val="008A2E04"/>
    <w:rsid w:val="008A52B4"/>
    <w:rsid w:val="008A5623"/>
    <w:rsid w:val="008A6881"/>
    <w:rsid w:val="008A696F"/>
    <w:rsid w:val="008A6A1D"/>
    <w:rsid w:val="008A7298"/>
    <w:rsid w:val="008B0DA2"/>
    <w:rsid w:val="008B4C48"/>
    <w:rsid w:val="008B5090"/>
    <w:rsid w:val="008B55E7"/>
    <w:rsid w:val="008B569E"/>
    <w:rsid w:val="008B56C8"/>
    <w:rsid w:val="008B584A"/>
    <w:rsid w:val="008B5C38"/>
    <w:rsid w:val="008B658A"/>
    <w:rsid w:val="008B6B65"/>
    <w:rsid w:val="008B71DA"/>
    <w:rsid w:val="008B7313"/>
    <w:rsid w:val="008B76C8"/>
    <w:rsid w:val="008B7D25"/>
    <w:rsid w:val="008C0540"/>
    <w:rsid w:val="008C1041"/>
    <w:rsid w:val="008C25D3"/>
    <w:rsid w:val="008C2B51"/>
    <w:rsid w:val="008C42CD"/>
    <w:rsid w:val="008C514A"/>
    <w:rsid w:val="008C55D4"/>
    <w:rsid w:val="008C7120"/>
    <w:rsid w:val="008C779D"/>
    <w:rsid w:val="008C790E"/>
    <w:rsid w:val="008D01FE"/>
    <w:rsid w:val="008D090B"/>
    <w:rsid w:val="008D1521"/>
    <w:rsid w:val="008D18BD"/>
    <w:rsid w:val="008D1B1D"/>
    <w:rsid w:val="008D2C5F"/>
    <w:rsid w:val="008D3678"/>
    <w:rsid w:val="008D435E"/>
    <w:rsid w:val="008D5988"/>
    <w:rsid w:val="008D6938"/>
    <w:rsid w:val="008D7E14"/>
    <w:rsid w:val="008D7F59"/>
    <w:rsid w:val="008E0D29"/>
    <w:rsid w:val="008E17AA"/>
    <w:rsid w:val="008E1FDB"/>
    <w:rsid w:val="008E29C3"/>
    <w:rsid w:val="008E2E34"/>
    <w:rsid w:val="008E315B"/>
    <w:rsid w:val="008E348C"/>
    <w:rsid w:val="008E472B"/>
    <w:rsid w:val="008E4F36"/>
    <w:rsid w:val="008E5511"/>
    <w:rsid w:val="008E58B0"/>
    <w:rsid w:val="008E765D"/>
    <w:rsid w:val="008E7687"/>
    <w:rsid w:val="008F08DA"/>
    <w:rsid w:val="008F2A70"/>
    <w:rsid w:val="008F2F83"/>
    <w:rsid w:val="008F35BF"/>
    <w:rsid w:val="008F38E4"/>
    <w:rsid w:val="008F4835"/>
    <w:rsid w:val="008F49A8"/>
    <w:rsid w:val="008F54A8"/>
    <w:rsid w:val="008F59B0"/>
    <w:rsid w:val="008F6183"/>
    <w:rsid w:val="008F6526"/>
    <w:rsid w:val="008F6714"/>
    <w:rsid w:val="008F69D3"/>
    <w:rsid w:val="008F71A0"/>
    <w:rsid w:val="008F745E"/>
    <w:rsid w:val="009006A1"/>
    <w:rsid w:val="00903A88"/>
    <w:rsid w:val="00904B7F"/>
    <w:rsid w:val="009051E5"/>
    <w:rsid w:val="00905C22"/>
    <w:rsid w:val="00906920"/>
    <w:rsid w:val="00907A0A"/>
    <w:rsid w:val="00912470"/>
    <w:rsid w:val="00912C84"/>
    <w:rsid w:val="009135C7"/>
    <w:rsid w:val="009140B7"/>
    <w:rsid w:val="00914165"/>
    <w:rsid w:val="00914603"/>
    <w:rsid w:val="00917989"/>
    <w:rsid w:val="00917BCE"/>
    <w:rsid w:val="0092289F"/>
    <w:rsid w:val="009229E4"/>
    <w:rsid w:val="00923108"/>
    <w:rsid w:val="00923567"/>
    <w:rsid w:val="00924D4B"/>
    <w:rsid w:val="009256B0"/>
    <w:rsid w:val="009270A3"/>
    <w:rsid w:val="0092713C"/>
    <w:rsid w:val="00927450"/>
    <w:rsid w:val="00930319"/>
    <w:rsid w:val="009305B4"/>
    <w:rsid w:val="00931152"/>
    <w:rsid w:val="0093191F"/>
    <w:rsid w:val="009333C6"/>
    <w:rsid w:val="00935168"/>
    <w:rsid w:val="0093534F"/>
    <w:rsid w:val="00935BCE"/>
    <w:rsid w:val="00936E2E"/>
    <w:rsid w:val="00937461"/>
    <w:rsid w:val="009378DE"/>
    <w:rsid w:val="009401E2"/>
    <w:rsid w:val="00940D2A"/>
    <w:rsid w:val="00942082"/>
    <w:rsid w:val="0094223D"/>
    <w:rsid w:val="00942518"/>
    <w:rsid w:val="00942B74"/>
    <w:rsid w:val="00942CF1"/>
    <w:rsid w:val="0094337A"/>
    <w:rsid w:val="009435B7"/>
    <w:rsid w:val="009438B5"/>
    <w:rsid w:val="009439E9"/>
    <w:rsid w:val="00943B6C"/>
    <w:rsid w:val="00944D36"/>
    <w:rsid w:val="0094502F"/>
    <w:rsid w:val="00945269"/>
    <w:rsid w:val="00945FF5"/>
    <w:rsid w:val="00947221"/>
    <w:rsid w:val="00951155"/>
    <w:rsid w:val="00951D55"/>
    <w:rsid w:val="00952400"/>
    <w:rsid w:val="00952D00"/>
    <w:rsid w:val="00954378"/>
    <w:rsid w:val="00954A1F"/>
    <w:rsid w:val="0095609B"/>
    <w:rsid w:val="00956868"/>
    <w:rsid w:val="00956DC5"/>
    <w:rsid w:val="00957428"/>
    <w:rsid w:val="00957B38"/>
    <w:rsid w:val="009615D4"/>
    <w:rsid w:val="009616FC"/>
    <w:rsid w:val="0096202E"/>
    <w:rsid w:val="009623B8"/>
    <w:rsid w:val="00962F81"/>
    <w:rsid w:val="00963D62"/>
    <w:rsid w:val="009652CA"/>
    <w:rsid w:val="00965DF9"/>
    <w:rsid w:val="009664E9"/>
    <w:rsid w:val="00966C48"/>
    <w:rsid w:val="00967E90"/>
    <w:rsid w:val="009707FC"/>
    <w:rsid w:val="00970CAB"/>
    <w:rsid w:val="0097120C"/>
    <w:rsid w:val="0097123A"/>
    <w:rsid w:val="009713DB"/>
    <w:rsid w:val="00973001"/>
    <w:rsid w:val="009738C2"/>
    <w:rsid w:val="00974CA0"/>
    <w:rsid w:val="00976387"/>
    <w:rsid w:val="00976CB7"/>
    <w:rsid w:val="00977D9B"/>
    <w:rsid w:val="0098219E"/>
    <w:rsid w:val="0098284E"/>
    <w:rsid w:val="0098412D"/>
    <w:rsid w:val="00985228"/>
    <w:rsid w:val="0098555F"/>
    <w:rsid w:val="00985E54"/>
    <w:rsid w:val="00985ED4"/>
    <w:rsid w:val="00986BF5"/>
    <w:rsid w:val="00986C72"/>
    <w:rsid w:val="00991E81"/>
    <w:rsid w:val="009945F4"/>
    <w:rsid w:val="0099593A"/>
    <w:rsid w:val="00996008"/>
    <w:rsid w:val="0099697B"/>
    <w:rsid w:val="00996A30"/>
    <w:rsid w:val="0099760B"/>
    <w:rsid w:val="00997639"/>
    <w:rsid w:val="00997E8E"/>
    <w:rsid w:val="009A03B1"/>
    <w:rsid w:val="009A03EF"/>
    <w:rsid w:val="009A126C"/>
    <w:rsid w:val="009A26BB"/>
    <w:rsid w:val="009A3349"/>
    <w:rsid w:val="009A3470"/>
    <w:rsid w:val="009A380C"/>
    <w:rsid w:val="009A398D"/>
    <w:rsid w:val="009A4ABE"/>
    <w:rsid w:val="009A4FCB"/>
    <w:rsid w:val="009A5710"/>
    <w:rsid w:val="009A639C"/>
    <w:rsid w:val="009A6954"/>
    <w:rsid w:val="009A7055"/>
    <w:rsid w:val="009A7D1E"/>
    <w:rsid w:val="009A7FC2"/>
    <w:rsid w:val="009B0F99"/>
    <w:rsid w:val="009B1DB6"/>
    <w:rsid w:val="009B1F08"/>
    <w:rsid w:val="009B2B7E"/>
    <w:rsid w:val="009B3868"/>
    <w:rsid w:val="009B3EF5"/>
    <w:rsid w:val="009B5199"/>
    <w:rsid w:val="009B5244"/>
    <w:rsid w:val="009B52FD"/>
    <w:rsid w:val="009B555C"/>
    <w:rsid w:val="009B75EB"/>
    <w:rsid w:val="009B7CEB"/>
    <w:rsid w:val="009C0613"/>
    <w:rsid w:val="009C1E31"/>
    <w:rsid w:val="009C38C0"/>
    <w:rsid w:val="009C42C1"/>
    <w:rsid w:val="009C4B7C"/>
    <w:rsid w:val="009C5399"/>
    <w:rsid w:val="009D0839"/>
    <w:rsid w:val="009D0DEE"/>
    <w:rsid w:val="009D166E"/>
    <w:rsid w:val="009D1A17"/>
    <w:rsid w:val="009D2AD3"/>
    <w:rsid w:val="009D2B63"/>
    <w:rsid w:val="009D2E0F"/>
    <w:rsid w:val="009D3B90"/>
    <w:rsid w:val="009D48C0"/>
    <w:rsid w:val="009D51C6"/>
    <w:rsid w:val="009D5E02"/>
    <w:rsid w:val="009D5EA7"/>
    <w:rsid w:val="009D61D2"/>
    <w:rsid w:val="009D6D22"/>
    <w:rsid w:val="009D700E"/>
    <w:rsid w:val="009E02AD"/>
    <w:rsid w:val="009E2243"/>
    <w:rsid w:val="009E342D"/>
    <w:rsid w:val="009E363D"/>
    <w:rsid w:val="009E402C"/>
    <w:rsid w:val="009E557B"/>
    <w:rsid w:val="009E638C"/>
    <w:rsid w:val="009E7DFD"/>
    <w:rsid w:val="009F0757"/>
    <w:rsid w:val="009F0A5D"/>
    <w:rsid w:val="009F3648"/>
    <w:rsid w:val="009F3AFE"/>
    <w:rsid w:val="009F55BB"/>
    <w:rsid w:val="009F55E7"/>
    <w:rsid w:val="009F760A"/>
    <w:rsid w:val="009F7B54"/>
    <w:rsid w:val="009F7F38"/>
    <w:rsid w:val="00A000CB"/>
    <w:rsid w:val="00A00733"/>
    <w:rsid w:val="00A00A0F"/>
    <w:rsid w:val="00A0114B"/>
    <w:rsid w:val="00A01287"/>
    <w:rsid w:val="00A01C57"/>
    <w:rsid w:val="00A042D3"/>
    <w:rsid w:val="00A05F0E"/>
    <w:rsid w:val="00A10D11"/>
    <w:rsid w:val="00A117DE"/>
    <w:rsid w:val="00A11ADA"/>
    <w:rsid w:val="00A1251A"/>
    <w:rsid w:val="00A1324D"/>
    <w:rsid w:val="00A1324F"/>
    <w:rsid w:val="00A13D41"/>
    <w:rsid w:val="00A15149"/>
    <w:rsid w:val="00A15988"/>
    <w:rsid w:val="00A15FA0"/>
    <w:rsid w:val="00A160C2"/>
    <w:rsid w:val="00A16651"/>
    <w:rsid w:val="00A16816"/>
    <w:rsid w:val="00A17647"/>
    <w:rsid w:val="00A20715"/>
    <w:rsid w:val="00A20AD6"/>
    <w:rsid w:val="00A21222"/>
    <w:rsid w:val="00A217F3"/>
    <w:rsid w:val="00A21A21"/>
    <w:rsid w:val="00A22003"/>
    <w:rsid w:val="00A221D5"/>
    <w:rsid w:val="00A22512"/>
    <w:rsid w:val="00A22F36"/>
    <w:rsid w:val="00A237CE"/>
    <w:rsid w:val="00A247E1"/>
    <w:rsid w:val="00A24F07"/>
    <w:rsid w:val="00A2529A"/>
    <w:rsid w:val="00A266BC"/>
    <w:rsid w:val="00A26B81"/>
    <w:rsid w:val="00A26EDF"/>
    <w:rsid w:val="00A271CF"/>
    <w:rsid w:val="00A27A03"/>
    <w:rsid w:val="00A27C63"/>
    <w:rsid w:val="00A30546"/>
    <w:rsid w:val="00A30797"/>
    <w:rsid w:val="00A317A0"/>
    <w:rsid w:val="00A32060"/>
    <w:rsid w:val="00A323DD"/>
    <w:rsid w:val="00A3304F"/>
    <w:rsid w:val="00A34248"/>
    <w:rsid w:val="00A344B7"/>
    <w:rsid w:val="00A345BA"/>
    <w:rsid w:val="00A34707"/>
    <w:rsid w:val="00A3470D"/>
    <w:rsid w:val="00A3587D"/>
    <w:rsid w:val="00A35B37"/>
    <w:rsid w:val="00A366F4"/>
    <w:rsid w:val="00A3698C"/>
    <w:rsid w:val="00A36EE7"/>
    <w:rsid w:val="00A37152"/>
    <w:rsid w:val="00A3760E"/>
    <w:rsid w:val="00A41E8B"/>
    <w:rsid w:val="00A42B20"/>
    <w:rsid w:val="00A43CBE"/>
    <w:rsid w:val="00A43D75"/>
    <w:rsid w:val="00A445AF"/>
    <w:rsid w:val="00A44817"/>
    <w:rsid w:val="00A44B92"/>
    <w:rsid w:val="00A44E7F"/>
    <w:rsid w:val="00A4547C"/>
    <w:rsid w:val="00A45E4D"/>
    <w:rsid w:val="00A47C92"/>
    <w:rsid w:val="00A5397B"/>
    <w:rsid w:val="00A54944"/>
    <w:rsid w:val="00A56C30"/>
    <w:rsid w:val="00A57093"/>
    <w:rsid w:val="00A57410"/>
    <w:rsid w:val="00A57944"/>
    <w:rsid w:val="00A60483"/>
    <w:rsid w:val="00A60F36"/>
    <w:rsid w:val="00A61290"/>
    <w:rsid w:val="00A62AD8"/>
    <w:rsid w:val="00A631CC"/>
    <w:rsid w:val="00A6371B"/>
    <w:rsid w:val="00A653C4"/>
    <w:rsid w:val="00A65BFE"/>
    <w:rsid w:val="00A66FDF"/>
    <w:rsid w:val="00A6723C"/>
    <w:rsid w:val="00A703E4"/>
    <w:rsid w:val="00A7095D"/>
    <w:rsid w:val="00A71638"/>
    <w:rsid w:val="00A72741"/>
    <w:rsid w:val="00A7294F"/>
    <w:rsid w:val="00A73CDC"/>
    <w:rsid w:val="00A73DA9"/>
    <w:rsid w:val="00A74293"/>
    <w:rsid w:val="00A75F93"/>
    <w:rsid w:val="00A76146"/>
    <w:rsid w:val="00A76623"/>
    <w:rsid w:val="00A80330"/>
    <w:rsid w:val="00A80642"/>
    <w:rsid w:val="00A80B55"/>
    <w:rsid w:val="00A820FB"/>
    <w:rsid w:val="00A8284E"/>
    <w:rsid w:val="00A828FC"/>
    <w:rsid w:val="00A82A77"/>
    <w:rsid w:val="00A83347"/>
    <w:rsid w:val="00A837B4"/>
    <w:rsid w:val="00A83C63"/>
    <w:rsid w:val="00A851A8"/>
    <w:rsid w:val="00A855DE"/>
    <w:rsid w:val="00A862DF"/>
    <w:rsid w:val="00A876E6"/>
    <w:rsid w:val="00A91C35"/>
    <w:rsid w:val="00A92129"/>
    <w:rsid w:val="00A92FED"/>
    <w:rsid w:val="00A936E9"/>
    <w:rsid w:val="00A93EE2"/>
    <w:rsid w:val="00A95D04"/>
    <w:rsid w:val="00A95DD5"/>
    <w:rsid w:val="00AA1080"/>
    <w:rsid w:val="00AA10C7"/>
    <w:rsid w:val="00AA1319"/>
    <w:rsid w:val="00AA2613"/>
    <w:rsid w:val="00AA2AFE"/>
    <w:rsid w:val="00AA2B24"/>
    <w:rsid w:val="00AA38E9"/>
    <w:rsid w:val="00AA4060"/>
    <w:rsid w:val="00AA525C"/>
    <w:rsid w:val="00AA63C3"/>
    <w:rsid w:val="00AB12E6"/>
    <w:rsid w:val="00AB3B7F"/>
    <w:rsid w:val="00AB5838"/>
    <w:rsid w:val="00AB699C"/>
    <w:rsid w:val="00AB71DB"/>
    <w:rsid w:val="00AB7DE2"/>
    <w:rsid w:val="00AC04A3"/>
    <w:rsid w:val="00AC0DE3"/>
    <w:rsid w:val="00AC1212"/>
    <w:rsid w:val="00AC12AE"/>
    <w:rsid w:val="00AC1D30"/>
    <w:rsid w:val="00AC2167"/>
    <w:rsid w:val="00AC2702"/>
    <w:rsid w:val="00AC287B"/>
    <w:rsid w:val="00AC2E09"/>
    <w:rsid w:val="00AC484A"/>
    <w:rsid w:val="00AC66C3"/>
    <w:rsid w:val="00AC7144"/>
    <w:rsid w:val="00AD1466"/>
    <w:rsid w:val="00AD27B8"/>
    <w:rsid w:val="00AD2EEE"/>
    <w:rsid w:val="00AD378B"/>
    <w:rsid w:val="00AD485C"/>
    <w:rsid w:val="00AD4AEC"/>
    <w:rsid w:val="00AD5EE3"/>
    <w:rsid w:val="00AD7BDC"/>
    <w:rsid w:val="00AE018B"/>
    <w:rsid w:val="00AE0A13"/>
    <w:rsid w:val="00AE0E7D"/>
    <w:rsid w:val="00AE1AEF"/>
    <w:rsid w:val="00AE1B61"/>
    <w:rsid w:val="00AE2197"/>
    <w:rsid w:val="00AE3B34"/>
    <w:rsid w:val="00AE4C6D"/>
    <w:rsid w:val="00AE4C7E"/>
    <w:rsid w:val="00AE4DE8"/>
    <w:rsid w:val="00AE6AF5"/>
    <w:rsid w:val="00AE7EB5"/>
    <w:rsid w:val="00AF1033"/>
    <w:rsid w:val="00AF120B"/>
    <w:rsid w:val="00AF14C2"/>
    <w:rsid w:val="00AF25DB"/>
    <w:rsid w:val="00AF5ECA"/>
    <w:rsid w:val="00AF67BA"/>
    <w:rsid w:val="00AF6A23"/>
    <w:rsid w:val="00AF6D63"/>
    <w:rsid w:val="00AF7992"/>
    <w:rsid w:val="00B00B34"/>
    <w:rsid w:val="00B01F54"/>
    <w:rsid w:val="00B01F62"/>
    <w:rsid w:val="00B02CAB"/>
    <w:rsid w:val="00B03027"/>
    <w:rsid w:val="00B03C06"/>
    <w:rsid w:val="00B04921"/>
    <w:rsid w:val="00B04F10"/>
    <w:rsid w:val="00B06316"/>
    <w:rsid w:val="00B07B8F"/>
    <w:rsid w:val="00B115BA"/>
    <w:rsid w:val="00B121DA"/>
    <w:rsid w:val="00B12525"/>
    <w:rsid w:val="00B13120"/>
    <w:rsid w:val="00B13963"/>
    <w:rsid w:val="00B14432"/>
    <w:rsid w:val="00B17569"/>
    <w:rsid w:val="00B205BC"/>
    <w:rsid w:val="00B20CEF"/>
    <w:rsid w:val="00B20E71"/>
    <w:rsid w:val="00B2247F"/>
    <w:rsid w:val="00B22CCF"/>
    <w:rsid w:val="00B245B2"/>
    <w:rsid w:val="00B25460"/>
    <w:rsid w:val="00B266FA"/>
    <w:rsid w:val="00B26B42"/>
    <w:rsid w:val="00B26EE1"/>
    <w:rsid w:val="00B3091E"/>
    <w:rsid w:val="00B30FFA"/>
    <w:rsid w:val="00B318AC"/>
    <w:rsid w:val="00B32601"/>
    <w:rsid w:val="00B32A22"/>
    <w:rsid w:val="00B33131"/>
    <w:rsid w:val="00B34425"/>
    <w:rsid w:val="00B346EA"/>
    <w:rsid w:val="00B3476A"/>
    <w:rsid w:val="00B3542C"/>
    <w:rsid w:val="00B365DF"/>
    <w:rsid w:val="00B3748B"/>
    <w:rsid w:val="00B40052"/>
    <w:rsid w:val="00B4036D"/>
    <w:rsid w:val="00B40935"/>
    <w:rsid w:val="00B410DC"/>
    <w:rsid w:val="00B4116F"/>
    <w:rsid w:val="00B4185E"/>
    <w:rsid w:val="00B41879"/>
    <w:rsid w:val="00B425AC"/>
    <w:rsid w:val="00B4269B"/>
    <w:rsid w:val="00B4471A"/>
    <w:rsid w:val="00B44A77"/>
    <w:rsid w:val="00B4599C"/>
    <w:rsid w:val="00B46521"/>
    <w:rsid w:val="00B46667"/>
    <w:rsid w:val="00B466C6"/>
    <w:rsid w:val="00B46F96"/>
    <w:rsid w:val="00B5058F"/>
    <w:rsid w:val="00B50B82"/>
    <w:rsid w:val="00B50E5C"/>
    <w:rsid w:val="00B5358B"/>
    <w:rsid w:val="00B53657"/>
    <w:rsid w:val="00B53B0A"/>
    <w:rsid w:val="00B54565"/>
    <w:rsid w:val="00B5466A"/>
    <w:rsid w:val="00B5477F"/>
    <w:rsid w:val="00B56214"/>
    <w:rsid w:val="00B565C5"/>
    <w:rsid w:val="00B61465"/>
    <w:rsid w:val="00B617A6"/>
    <w:rsid w:val="00B61AA8"/>
    <w:rsid w:val="00B63E01"/>
    <w:rsid w:val="00B648EE"/>
    <w:rsid w:val="00B64B89"/>
    <w:rsid w:val="00B6516F"/>
    <w:rsid w:val="00B65791"/>
    <w:rsid w:val="00B6630F"/>
    <w:rsid w:val="00B67BCC"/>
    <w:rsid w:val="00B67F16"/>
    <w:rsid w:val="00B71F6F"/>
    <w:rsid w:val="00B73056"/>
    <w:rsid w:val="00B73D1E"/>
    <w:rsid w:val="00B73EDA"/>
    <w:rsid w:val="00B746C0"/>
    <w:rsid w:val="00B76682"/>
    <w:rsid w:val="00B76AB0"/>
    <w:rsid w:val="00B77301"/>
    <w:rsid w:val="00B7764A"/>
    <w:rsid w:val="00B80004"/>
    <w:rsid w:val="00B801BE"/>
    <w:rsid w:val="00B80C2F"/>
    <w:rsid w:val="00B8154D"/>
    <w:rsid w:val="00B831FF"/>
    <w:rsid w:val="00B83D95"/>
    <w:rsid w:val="00B849B4"/>
    <w:rsid w:val="00B850BE"/>
    <w:rsid w:val="00B859A2"/>
    <w:rsid w:val="00B8615B"/>
    <w:rsid w:val="00B86AC7"/>
    <w:rsid w:val="00B86C16"/>
    <w:rsid w:val="00B900B3"/>
    <w:rsid w:val="00B905C6"/>
    <w:rsid w:val="00B92AC8"/>
    <w:rsid w:val="00B937BA"/>
    <w:rsid w:val="00B942B0"/>
    <w:rsid w:val="00B948E3"/>
    <w:rsid w:val="00B95268"/>
    <w:rsid w:val="00B95CB7"/>
    <w:rsid w:val="00B95CFD"/>
    <w:rsid w:val="00B97768"/>
    <w:rsid w:val="00BA1B5B"/>
    <w:rsid w:val="00BA3DC4"/>
    <w:rsid w:val="00BA451C"/>
    <w:rsid w:val="00BA45AA"/>
    <w:rsid w:val="00BA4B65"/>
    <w:rsid w:val="00BA5944"/>
    <w:rsid w:val="00BB012B"/>
    <w:rsid w:val="00BB0E1F"/>
    <w:rsid w:val="00BB2085"/>
    <w:rsid w:val="00BB29EF"/>
    <w:rsid w:val="00BB2A8E"/>
    <w:rsid w:val="00BB2FFC"/>
    <w:rsid w:val="00BB3009"/>
    <w:rsid w:val="00BB4F2C"/>
    <w:rsid w:val="00BB4FBF"/>
    <w:rsid w:val="00BB5FC4"/>
    <w:rsid w:val="00BB767D"/>
    <w:rsid w:val="00BB76C3"/>
    <w:rsid w:val="00BB78AF"/>
    <w:rsid w:val="00BB7939"/>
    <w:rsid w:val="00BB7AA1"/>
    <w:rsid w:val="00BC03E9"/>
    <w:rsid w:val="00BC0A0E"/>
    <w:rsid w:val="00BC0D12"/>
    <w:rsid w:val="00BC1DC6"/>
    <w:rsid w:val="00BC28DD"/>
    <w:rsid w:val="00BC3C16"/>
    <w:rsid w:val="00BD0F0F"/>
    <w:rsid w:val="00BD130A"/>
    <w:rsid w:val="00BD13AC"/>
    <w:rsid w:val="00BD15AC"/>
    <w:rsid w:val="00BD1AB0"/>
    <w:rsid w:val="00BD23AA"/>
    <w:rsid w:val="00BD2DA0"/>
    <w:rsid w:val="00BD331A"/>
    <w:rsid w:val="00BD4F1C"/>
    <w:rsid w:val="00BD7D7C"/>
    <w:rsid w:val="00BE0279"/>
    <w:rsid w:val="00BE0951"/>
    <w:rsid w:val="00BE0B48"/>
    <w:rsid w:val="00BE1F49"/>
    <w:rsid w:val="00BE2AE5"/>
    <w:rsid w:val="00BE3B15"/>
    <w:rsid w:val="00BE4301"/>
    <w:rsid w:val="00BE6FE3"/>
    <w:rsid w:val="00BE700C"/>
    <w:rsid w:val="00BE7496"/>
    <w:rsid w:val="00BE7FC0"/>
    <w:rsid w:val="00BF0406"/>
    <w:rsid w:val="00BF0EF5"/>
    <w:rsid w:val="00BF1A41"/>
    <w:rsid w:val="00BF35A2"/>
    <w:rsid w:val="00BF3AEF"/>
    <w:rsid w:val="00BF4451"/>
    <w:rsid w:val="00BF5138"/>
    <w:rsid w:val="00BF6BE1"/>
    <w:rsid w:val="00BF7353"/>
    <w:rsid w:val="00C00A02"/>
    <w:rsid w:val="00C015DD"/>
    <w:rsid w:val="00C01AD2"/>
    <w:rsid w:val="00C03014"/>
    <w:rsid w:val="00C05488"/>
    <w:rsid w:val="00C06175"/>
    <w:rsid w:val="00C06CC0"/>
    <w:rsid w:val="00C07069"/>
    <w:rsid w:val="00C121B6"/>
    <w:rsid w:val="00C12208"/>
    <w:rsid w:val="00C1236C"/>
    <w:rsid w:val="00C126BB"/>
    <w:rsid w:val="00C1441F"/>
    <w:rsid w:val="00C153DA"/>
    <w:rsid w:val="00C1593E"/>
    <w:rsid w:val="00C17695"/>
    <w:rsid w:val="00C17F7C"/>
    <w:rsid w:val="00C200ED"/>
    <w:rsid w:val="00C21A93"/>
    <w:rsid w:val="00C2451B"/>
    <w:rsid w:val="00C2492D"/>
    <w:rsid w:val="00C25031"/>
    <w:rsid w:val="00C25E84"/>
    <w:rsid w:val="00C2618B"/>
    <w:rsid w:val="00C30333"/>
    <w:rsid w:val="00C32165"/>
    <w:rsid w:val="00C32995"/>
    <w:rsid w:val="00C32B3A"/>
    <w:rsid w:val="00C33B70"/>
    <w:rsid w:val="00C33D7D"/>
    <w:rsid w:val="00C34173"/>
    <w:rsid w:val="00C34AD3"/>
    <w:rsid w:val="00C34CF2"/>
    <w:rsid w:val="00C35E1B"/>
    <w:rsid w:val="00C3608D"/>
    <w:rsid w:val="00C36D83"/>
    <w:rsid w:val="00C36DF7"/>
    <w:rsid w:val="00C36E7C"/>
    <w:rsid w:val="00C37081"/>
    <w:rsid w:val="00C3732E"/>
    <w:rsid w:val="00C37474"/>
    <w:rsid w:val="00C406A3"/>
    <w:rsid w:val="00C40932"/>
    <w:rsid w:val="00C40A46"/>
    <w:rsid w:val="00C416BF"/>
    <w:rsid w:val="00C41736"/>
    <w:rsid w:val="00C41D2E"/>
    <w:rsid w:val="00C4206F"/>
    <w:rsid w:val="00C421BF"/>
    <w:rsid w:val="00C44984"/>
    <w:rsid w:val="00C44B24"/>
    <w:rsid w:val="00C44DB9"/>
    <w:rsid w:val="00C45BCF"/>
    <w:rsid w:val="00C46140"/>
    <w:rsid w:val="00C468BC"/>
    <w:rsid w:val="00C47741"/>
    <w:rsid w:val="00C50A14"/>
    <w:rsid w:val="00C50B04"/>
    <w:rsid w:val="00C514BE"/>
    <w:rsid w:val="00C51BCB"/>
    <w:rsid w:val="00C526A2"/>
    <w:rsid w:val="00C54FB5"/>
    <w:rsid w:val="00C55227"/>
    <w:rsid w:val="00C55440"/>
    <w:rsid w:val="00C56082"/>
    <w:rsid w:val="00C573A2"/>
    <w:rsid w:val="00C57480"/>
    <w:rsid w:val="00C600E3"/>
    <w:rsid w:val="00C61051"/>
    <w:rsid w:val="00C633C8"/>
    <w:rsid w:val="00C63675"/>
    <w:rsid w:val="00C63A48"/>
    <w:rsid w:val="00C63E40"/>
    <w:rsid w:val="00C63EC7"/>
    <w:rsid w:val="00C642C2"/>
    <w:rsid w:val="00C64426"/>
    <w:rsid w:val="00C64CAC"/>
    <w:rsid w:val="00C65123"/>
    <w:rsid w:val="00C65F8C"/>
    <w:rsid w:val="00C665D4"/>
    <w:rsid w:val="00C66B30"/>
    <w:rsid w:val="00C67A0F"/>
    <w:rsid w:val="00C71739"/>
    <w:rsid w:val="00C7288A"/>
    <w:rsid w:val="00C72D3A"/>
    <w:rsid w:val="00C7342E"/>
    <w:rsid w:val="00C73C78"/>
    <w:rsid w:val="00C74EBF"/>
    <w:rsid w:val="00C7651F"/>
    <w:rsid w:val="00C77124"/>
    <w:rsid w:val="00C80415"/>
    <w:rsid w:val="00C824E0"/>
    <w:rsid w:val="00C82E2A"/>
    <w:rsid w:val="00C83150"/>
    <w:rsid w:val="00C83BA6"/>
    <w:rsid w:val="00C83C33"/>
    <w:rsid w:val="00C841D1"/>
    <w:rsid w:val="00C842CB"/>
    <w:rsid w:val="00C84725"/>
    <w:rsid w:val="00C84AC2"/>
    <w:rsid w:val="00C84B5B"/>
    <w:rsid w:val="00C84E98"/>
    <w:rsid w:val="00C851F0"/>
    <w:rsid w:val="00C85CAF"/>
    <w:rsid w:val="00C86A83"/>
    <w:rsid w:val="00C876D1"/>
    <w:rsid w:val="00C87A8D"/>
    <w:rsid w:val="00C92EC4"/>
    <w:rsid w:val="00C93F48"/>
    <w:rsid w:val="00C95280"/>
    <w:rsid w:val="00C952A7"/>
    <w:rsid w:val="00C97157"/>
    <w:rsid w:val="00CA049E"/>
    <w:rsid w:val="00CA172E"/>
    <w:rsid w:val="00CA3006"/>
    <w:rsid w:val="00CA3048"/>
    <w:rsid w:val="00CA34DB"/>
    <w:rsid w:val="00CA3EA4"/>
    <w:rsid w:val="00CA4600"/>
    <w:rsid w:val="00CA5268"/>
    <w:rsid w:val="00CA6814"/>
    <w:rsid w:val="00CA686B"/>
    <w:rsid w:val="00CA7A67"/>
    <w:rsid w:val="00CA7C81"/>
    <w:rsid w:val="00CB13CC"/>
    <w:rsid w:val="00CB2730"/>
    <w:rsid w:val="00CB29E0"/>
    <w:rsid w:val="00CB3447"/>
    <w:rsid w:val="00CB349D"/>
    <w:rsid w:val="00CB3BF0"/>
    <w:rsid w:val="00CB3C43"/>
    <w:rsid w:val="00CB3E20"/>
    <w:rsid w:val="00CB4099"/>
    <w:rsid w:val="00CB42CF"/>
    <w:rsid w:val="00CB453B"/>
    <w:rsid w:val="00CB7400"/>
    <w:rsid w:val="00CB7ACA"/>
    <w:rsid w:val="00CC185E"/>
    <w:rsid w:val="00CC1DBD"/>
    <w:rsid w:val="00CC2BBB"/>
    <w:rsid w:val="00CC3081"/>
    <w:rsid w:val="00CC31D3"/>
    <w:rsid w:val="00CC497D"/>
    <w:rsid w:val="00CC4A29"/>
    <w:rsid w:val="00CC4AE6"/>
    <w:rsid w:val="00CC5CEE"/>
    <w:rsid w:val="00CC5D63"/>
    <w:rsid w:val="00CC7395"/>
    <w:rsid w:val="00CD195B"/>
    <w:rsid w:val="00CD269F"/>
    <w:rsid w:val="00CD27C2"/>
    <w:rsid w:val="00CD32C0"/>
    <w:rsid w:val="00CD50FC"/>
    <w:rsid w:val="00CD53DE"/>
    <w:rsid w:val="00CD55FF"/>
    <w:rsid w:val="00CD6E4C"/>
    <w:rsid w:val="00CD7354"/>
    <w:rsid w:val="00CD7915"/>
    <w:rsid w:val="00CE0567"/>
    <w:rsid w:val="00CE0BC7"/>
    <w:rsid w:val="00CE0E66"/>
    <w:rsid w:val="00CE1AF9"/>
    <w:rsid w:val="00CE3475"/>
    <w:rsid w:val="00CE472F"/>
    <w:rsid w:val="00CE4ED7"/>
    <w:rsid w:val="00CE5328"/>
    <w:rsid w:val="00CE5C27"/>
    <w:rsid w:val="00CE608B"/>
    <w:rsid w:val="00CE6398"/>
    <w:rsid w:val="00CE6AAF"/>
    <w:rsid w:val="00CE705E"/>
    <w:rsid w:val="00CF0BCE"/>
    <w:rsid w:val="00CF0C88"/>
    <w:rsid w:val="00CF124A"/>
    <w:rsid w:val="00CF2AD4"/>
    <w:rsid w:val="00CF2B14"/>
    <w:rsid w:val="00CF39DB"/>
    <w:rsid w:val="00CF459E"/>
    <w:rsid w:val="00CF5FC5"/>
    <w:rsid w:val="00CF6835"/>
    <w:rsid w:val="00CF6A83"/>
    <w:rsid w:val="00CF72D4"/>
    <w:rsid w:val="00CF7495"/>
    <w:rsid w:val="00CF7E47"/>
    <w:rsid w:val="00D00F82"/>
    <w:rsid w:val="00D04B1D"/>
    <w:rsid w:val="00D056C9"/>
    <w:rsid w:val="00D05CB8"/>
    <w:rsid w:val="00D07B02"/>
    <w:rsid w:val="00D07D99"/>
    <w:rsid w:val="00D1156A"/>
    <w:rsid w:val="00D12B79"/>
    <w:rsid w:val="00D12FEF"/>
    <w:rsid w:val="00D142A5"/>
    <w:rsid w:val="00D1500A"/>
    <w:rsid w:val="00D153D9"/>
    <w:rsid w:val="00D15F90"/>
    <w:rsid w:val="00D1641B"/>
    <w:rsid w:val="00D16FFD"/>
    <w:rsid w:val="00D208BF"/>
    <w:rsid w:val="00D2092E"/>
    <w:rsid w:val="00D2166F"/>
    <w:rsid w:val="00D21D80"/>
    <w:rsid w:val="00D229A6"/>
    <w:rsid w:val="00D237A4"/>
    <w:rsid w:val="00D23D6C"/>
    <w:rsid w:val="00D24249"/>
    <w:rsid w:val="00D24A36"/>
    <w:rsid w:val="00D2501C"/>
    <w:rsid w:val="00D25843"/>
    <w:rsid w:val="00D25BEA"/>
    <w:rsid w:val="00D25D4F"/>
    <w:rsid w:val="00D2697D"/>
    <w:rsid w:val="00D26AD8"/>
    <w:rsid w:val="00D26EC4"/>
    <w:rsid w:val="00D27B0E"/>
    <w:rsid w:val="00D30660"/>
    <w:rsid w:val="00D30D2F"/>
    <w:rsid w:val="00D31118"/>
    <w:rsid w:val="00D31554"/>
    <w:rsid w:val="00D3469D"/>
    <w:rsid w:val="00D35536"/>
    <w:rsid w:val="00D3636F"/>
    <w:rsid w:val="00D3677F"/>
    <w:rsid w:val="00D36AEC"/>
    <w:rsid w:val="00D37F4E"/>
    <w:rsid w:val="00D400C0"/>
    <w:rsid w:val="00D40A28"/>
    <w:rsid w:val="00D418D9"/>
    <w:rsid w:val="00D42328"/>
    <w:rsid w:val="00D42F6D"/>
    <w:rsid w:val="00D4519A"/>
    <w:rsid w:val="00D45D28"/>
    <w:rsid w:val="00D46003"/>
    <w:rsid w:val="00D472CF"/>
    <w:rsid w:val="00D47CFA"/>
    <w:rsid w:val="00D50413"/>
    <w:rsid w:val="00D5084C"/>
    <w:rsid w:val="00D50B5E"/>
    <w:rsid w:val="00D52148"/>
    <w:rsid w:val="00D5243E"/>
    <w:rsid w:val="00D52840"/>
    <w:rsid w:val="00D52DD5"/>
    <w:rsid w:val="00D54E58"/>
    <w:rsid w:val="00D54FEC"/>
    <w:rsid w:val="00D55AD3"/>
    <w:rsid w:val="00D5728B"/>
    <w:rsid w:val="00D573C1"/>
    <w:rsid w:val="00D574AB"/>
    <w:rsid w:val="00D57FC5"/>
    <w:rsid w:val="00D609E6"/>
    <w:rsid w:val="00D60DB3"/>
    <w:rsid w:val="00D6130F"/>
    <w:rsid w:val="00D615F4"/>
    <w:rsid w:val="00D61834"/>
    <w:rsid w:val="00D61F0E"/>
    <w:rsid w:val="00D62021"/>
    <w:rsid w:val="00D62C49"/>
    <w:rsid w:val="00D62ED7"/>
    <w:rsid w:val="00D63BEE"/>
    <w:rsid w:val="00D64DC4"/>
    <w:rsid w:val="00D67070"/>
    <w:rsid w:val="00D67DC8"/>
    <w:rsid w:val="00D7056B"/>
    <w:rsid w:val="00D70AD9"/>
    <w:rsid w:val="00D728A3"/>
    <w:rsid w:val="00D74068"/>
    <w:rsid w:val="00D7430B"/>
    <w:rsid w:val="00D74AD5"/>
    <w:rsid w:val="00D74BB7"/>
    <w:rsid w:val="00D7634B"/>
    <w:rsid w:val="00D774E4"/>
    <w:rsid w:val="00D810A0"/>
    <w:rsid w:val="00D81F30"/>
    <w:rsid w:val="00D82DA5"/>
    <w:rsid w:val="00D83052"/>
    <w:rsid w:val="00D8371E"/>
    <w:rsid w:val="00D8411D"/>
    <w:rsid w:val="00D841CF"/>
    <w:rsid w:val="00D84215"/>
    <w:rsid w:val="00D84A58"/>
    <w:rsid w:val="00D84F0E"/>
    <w:rsid w:val="00D851C0"/>
    <w:rsid w:val="00D86301"/>
    <w:rsid w:val="00D86323"/>
    <w:rsid w:val="00D87919"/>
    <w:rsid w:val="00D879C1"/>
    <w:rsid w:val="00D87AFB"/>
    <w:rsid w:val="00D90377"/>
    <w:rsid w:val="00D90724"/>
    <w:rsid w:val="00D9086B"/>
    <w:rsid w:val="00D91179"/>
    <w:rsid w:val="00D91200"/>
    <w:rsid w:val="00D9177E"/>
    <w:rsid w:val="00D91C4C"/>
    <w:rsid w:val="00D92017"/>
    <w:rsid w:val="00D92312"/>
    <w:rsid w:val="00D943DA"/>
    <w:rsid w:val="00D94613"/>
    <w:rsid w:val="00D950B2"/>
    <w:rsid w:val="00D9589A"/>
    <w:rsid w:val="00D9667F"/>
    <w:rsid w:val="00D96C7F"/>
    <w:rsid w:val="00D96F6F"/>
    <w:rsid w:val="00D97A48"/>
    <w:rsid w:val="00D97C13"/>
    <w:rsid w:val="00DA026C"/>
    <w:rsid w:val="00DA1BC7"/>
    <w:rsid w:val="00DA2239"/>
    <w:rsid w:val="00DA3C0D"/>
    <w:rsid w:val="00DA509F"/>
    <w:rsid w:val="00DA5346"/>
    <w:rsid w:val="00DA5914"/>
    <w:rsid w:val="00DA5CA6"/>
    <w:rsid w:val="00DA682B"/>
    <w:rsid w:val="00DB0D20"/>
    <w:rsid w:val="00DB0FB9"/>
    <w:rsid w:val="00DB10FC"/>
    <w:rsid w:val="00DB1A48"/>
    <w:rsid w:val="00DB284E"/>
    <w:rsid w:val="00DB2CCA"/>
    <w:rsid w:val="00DB34A5"/>
    <w:rsid w:val="00DB3C7F"/>
    <w:rsid w:val="00DB3E78"/>
    <w:rsid w:val="00DB533F"/>
    <w:rsid w:val="00DB5579"/>
    <w:rsid w:val="00DB6C81"/>
    <w:rsid w:val="00DB724B"/>
    <w:rsid w:val="00DC107A"/>
    <w:rsid w:val="00DC1AF4"/>
    <w:rsid w:val="00DC331F"/>
    <w:rsid w:val="00DC37EA"/>
    <w:rsid w:val="00DC476B"/>
    <w:rsid w:val="00DC5432"/>
    <w:rsid w:val="00DC5F36"/>
    <w:rsid w:val="00DC6394"/>
    <w:rsid w:val="00DC7268"/>
    <w:rsid w:val="00DC7A40"/>
    <w:rsid w:val="00DD079C"/>
    <w:rsid w:val="00DD1A21"/>
    <w:rsid w:val="00DD4EC4"/>
    <w:rsid w:val="00DD5137"/>
    <w:rsid w:val="00DD52AD"/>
    <w:rsid w:val="00DD52C0"/>
    <w:rsid w:val="00DD5A99"/>
    <w:rsid w:val="00DD6B6A"/>
    <w:rsid w:val="00DD6D12"/>
    <w:rsid w:val="00DD6DA4"/>
    <w:rsid w:val="00DE1461"/>
    <w:rsid w:val="00DE1E2B"/>
    <w:rsid w:val="00DE1E5F"/>
    <w:rsid w:val="00DE437E"/>
    <w:rsid w:val="00DE4646"/>
    <w:rsid w:val="00DE531B"/>
    <w:rsid w:val="00DE548C"/>
    <w:rsid w:val="00DE5EB7"/>
    <w:rsid w:val="00DE6066"/>
    <w:rsid w:val="00DE64FD"/>
    <w:rsid w:val="00DE6937"/>
    <w:rsid w:val="00DE6F48"/>
    <w:rsid w:val="00DE74A8"/>
    <w:rsid w:val="00DE7718"/>
    <w:rsid w:val="00DE799B"/>
    <w:rsid w:val="00DF1BBF"/>
    <w:rsid w:val="00DF1FE3"/>
    <w:rsid w:val="00DF2035"/>
    <w:rsid w:val="00DF293F"/>
    <w:rsid w:val="00DF3011"/>
    <w:rsid w:val="00DF37AA"/>
    <w:rsid w:val="00DF3E02"/>
    <w:rsid w:val="00DF5C02"/>
    <w:rsid w:val="00DF7FA9"/>
    <w:rsid w:val="00E0059D"/>
    <w:rsid w:val="00E0216C"/>
    <w:rsid w:val="00E03A15"/>
    <w:rsid w:val="00E0588D"/>
    <w:rsid w:val="00E05CE4"/>
    <w:rsid w:val="00E06E79"/>
    <w:rsid w:val="00E0753A"/>
    <w:rsid w:val="00E0763C"/>
    <w:rsid w:val="00E07FA7"/>
    <w:rsid w:val="00E10AEA"/>
    <w:rsid w:val="00E10B5C"/>
    <w:rsid w:val="00E10DBC"/>
    <w:rsid w:val="00E10F09"/>
    <w:rsid w:val="00E10F81"/>
    <w:rsid w:val="00E11CF5"/>
    <w:rsid w:val="00E13929"/>
    <w:rsid w:val="00E15707"/>
    <w:rsid w:val="00E15795"/>
    <w:rsid w:val="00E15CFD"/>
    <w:rsid w:val="00E15D8F"/>
    <w:rsid w:val="00E161EF"/>
    <w:rsid w:val="00E17216"/>
    <w:rsid w:val="00E175BB"/>
    <w:rsid w:val="00E1763E"/>
    <w:rsid w:val="00E17C4B"/>
    <w:rsid w:val="00E203E7"/>
    <w:rsid w:val="00E2178D"/>
    <w:rsid w:val="00E2229F"/>
    <w:rsid w:val="00E22B38"/>
    <w:rsid w:val="00E23270"/>
    <w:rsid w:val="00E24639"/>
    <w:rsid w:val="00E24D70"/>
    <w:rsid w:val="00E25606"/>
    <w:rsid w:val="00E25839"/>
    <w:rsid w:val="00E2666D"/>
    <w:rsid w:val="00E267CB"/>
    <w:rsid w:val="00E27826"/>
    <w:rsid w:val="00E3086D"/>
    <w:rsid w:val="00E30DDB"/>
    <w:rsid w:val="00E3388F"/>
    <w:rsid w:val="00E34272"/>
    <w:rsid w:val="00E3471D"/>
    <w:rsid w:val="00E34772"/>
    <w:rsid w:val="00E347DC"/>
    <w:rsid w:val="00E34CF0"/>
    <w:rsid w:val="00E353D4"/>
    <w:rsid w:val="00E378D4"/>
    <w:rsid w:val="00E37AB5"/>
    <w:rsid w:val="00E40889"/>
    <w:rsid w:val="00E40D93"/>
    <w:rsid w:val="00E4110E"/>
    <w:rsid w:val="00E43335"/>
    <w:rsid w:val="00E44C84"/>
    <w:rsid w:val="00E44EC3"/>
    <w:rsid w:val="00E45512"/>
    <w:rsid w:val="00E45898"/>
    <w:rsid w:val="00E45A4E"/>
    <w:rsid w:val="00E45D57"/>
    <w:rsid w:val="00E4626C"/>
    <w:rsid w:val="00E462F3"/>
    <w:rsid w:val="00E46F15"/>
    <w:rsid w:val="00E478B9"/>
    <w:rsid w:val="00E47D98"/>
    <w:rsid w:val="00E50540"/>
    <w:rsid w:val="00E52376"/>
    <w:rsid w:val="00E533C0"/>
    <w:rsid w:val="00E54434"/>
    <w:rsid w:val="00E5449C"/>
    <w:rsid w:val="00E55A0A"/>
    <w:rsid w:val="00E561C1"/>
    <w:rsid w:val="00E56840"/>
    <w:rsid w:val="00E56B44"/>
    <w:rsid w:val="00E572CD"/>
    <w:rsid w:val="00E57861"/>
    <w:rsid w:val="00E60500"/>
    <w:rsid w:val="00E60A68"/>
    <w:rsid w:val="00E60AAB"/>
    <w:rsid w:val="00E61C8C"/>
    <w:rsid w:val="00E62955"/>
    <w:rsid w:val="00E62D7B"/>
    <w:rsid w:val="00E62E0B"/>
    <w:rsid w:val="00E64840"/>
    <w:rsid w:val="00E674B3"/>
    <w:rsid w:val="00E67ADC"/>
    <w:rsid w:val="00E7003E"/>
    <w:rsid w:val="00E70FFC"/>
    <w:rsid w:val="00E71353"/>
    <w:rsid w:val="00E72067"/>
    <w:rsid w:val="00E727DB"/>
    <w:rsid w:val="00E7283D"/>
    <w:rsid w:val="00E73003"/>
    <w:rsid w:val="00E73AFD"/>
    <w:rsid w:val="00E744DA"/>
    <w:rsid w:val="00E74B3A"/>
    <w:rsid w:val="00E76C6E"/>
    <w:rsid w:val="00E84D08"/>
    <w:rsid w:val="00E878C0"/>
    <w:rsid w:val="00E87BB6"/>
    <w:rsid w:val="00E90770"/>
    <w:rsid w:val="00E9135F"/>
    <w:rsid w:val="00E9270C"/>
    <w:rsid w:val="00E9416C"/>
    <w:rsid w:val="00E94B71"/>
    <w:rsid w:val="00E94D04"/>
    <w:rsid w:val="00E9577C"/>
    <w:rsid w:val="00E958A8"/>
    <w:rsid w:val="00E962F5"/>
    <w:rsid w:val="00E96350"/>
    <w:rsid w:val="00E97433"/>
    <w:rsid w:val="00E974CF"/>
    <w:rsid w:val="00E976C5"/>
    <w:rsid w:val="00E97F84"/>
    <w:rsid w:val="00EA13BE"/>
    <w:rsid w:val="00EA1564"/>
    <w:rsid w:val="00EA2219"/>
    <w:rsid w:val="00EA3DC5"/>
    <w:rsid w:val="00EA4E8A"/>
    <w:rsid w:val="00EA50D2"/>
    <w:rsid w:val="00EA5C8E"/>
    <w:rsid w:val="00EA5FFB"/>
    <w:rsid w:val="00EA6C09"/>
    <w:rsid w:val="00EA771C"/>
    <w:rsid w:val="00EB0572"/>
    <w:rsid w:val="00EB0E4C"/>
    <w:rsid w:val="00EB14D7"/>
    <w:rsid w:val="00EB16B8"/>
    <w:rsid w:val="00EB18B0"/>
    <w:rsid w:val="00EB2081"/>
    <w:rsid w:val="00EB30F8"/>
    <w:rsid w:val="00EB3597"/>
    <w:rsid w:val="00EB3A02"/>
    <w:rsid w:val="00EB48B0"/>
    <w:rsid w:val="00EB5413"/>
    <w:rsid w:val="00EB5C9D"/>
    <w:rsid w:val="00EB7038"/>
    <w:rsid w:val="00EB748F"/>
    <w:rsid w:val="00EB7731"/>
    <w:rsid w:val="00EC0385"/>
    <w:rsid w:val="00EC04E6"/>
    <w:rsid w:val="00EC127C"/>
    <w:rsid w:val="00EC2850"/>
    <w:rsid w:val="00EC2937"/>
    <w:rsid w:val="00EC2BD1"/>
    <w:rsid w:val="00EC2C1F"/>
    <w:rsid w:val="00EC3231"/>
    <w:rsid w:val="00EC3E68"/>
    <w:rsid w:val="00EC3FE5"/>
    <w:rsid w:val="00EC4944"/>
    <w:rsid w:val="00EC52D5"/>
    <w:rsid w:val="00EC55E6"/>
    <w:rsid w:val="00EC7347"/>
    <w:rsid w:val="00EC77B6"/>
    <w:rsid w:val="00EC7A57"/>
    <w:rsid w:val="00EC7FFA"/>
    <w:rsid w:val="00ED0667"/>
    <w:rsid w:val="00ED0D0A"/>
    <w:rsid w:val="00ED2D65"/>
    <w:rsid w:val="00ED3C66"/>
    <w:rsid w:val="00ED3DF7"/>
    <w:rsid w:val="00ED4A33"/>
    <w:rsid w:val="00ED5832"/>
    <w:rsid w:val="00EE0BD0"/>
    <w:rsid w:val="00EE17BF"/>
    <w:rsid w:val="00EE28CE"/>
    <w:rsid w:val="00EE33BD"/>
    <w:rsid w:val="00EE448F"/>
    <w:rsid w:val="00EE4766"/>
    <w:rsid w:val="00EE65D8"/>
    <w:rsid w:val="00EE7E2E"/>
    <w:rsid w:val="00EF04FF"/>
    <w:rsid w:val="00EF12BB"/>
    <w:rsid w:val="00EF372C"/>
    <w:rsid w:val="00EF3741"/>
    <w:rsid w:val="00EF3811"/>
    <w:rsid w:val="00EF4A92"/>
    <w:rsid w:val="00EF4ED7"/>
    <w:rsid w:val="00EF5134"/>
    <w:rsid w:val="00EF51FF"/>
    <w:rsid w:val="00EF5B77"/>
    <w:rsid w:val="00EF6907"/>
    <w:rsid w:val="00EF69A0"/>
    <w:rsid w:val="00EF6B84"/>
    <w:rsid w:val="00F00023"/>
    <w:rsid w:val="00F00D80"/>
    <w:rsid w:val="00F011B8"/>
    <w:rsid w:val="00F024C9"/>
    <w:rsid w:val="00F02BC8"/>
    <w:rsid w:val="00F02EA1"/>
    <w:rsid w:val="00F038C6"/>
    <w:rsid w:val="00F03E75"/>
    <w:rsid w:val="00F04F0F"/>
    <w:rsid w:val="00F05179"/>
    <w:rsid w:val="00F0587B"/>
    <w:rsid w:val="00F06EDB"/>
    <w:rsid w:val="00F06F5B"/>
    <w:rsid w:val="00F07956"/>
    <w:rsid w:val="00F10436"/>
    <w:rsid w:val="00F134A5"/>
    <w:rsid w:val="00F13928"/>
    <w:rsid w:val="00F13CA7"/>
    <w:rsid w:val="00F160F3"/>
    <w:rsid w:val="00F16742"/>
    <w:rsid w:val="00F16C7A"/>
    <w:rsid w:val="00F16E4C"/>
    <w:rsid w:val="00F206AB"/>
    <w:rsid w:val="00F20A2A"/>
    <w:rsid w:val="00F20B14"/>
    <w:rsid w:val="00F20F74"/>
    <w:rsid w:val="00F2168D"/>
    <w:rsid w:val="00F21A4F"/>
    <w:rsid w:val="00F22A01"/>
    <w:rsid w:val="00F22E2C"/>
    <w:rsid w:val="00F24F73"/>
    <w:rsid w:val="00F25486"/>
    <w:rsid w:val="00F255C9"/>
    <w:rsid w:val="00F26007"/>
    <w:rsid w:val="00F27779"/>
    <w:rsid w:val="00F30088"/>
    <w:rsid w:val="00F30337"/>
    <w:rsid w:val="00F30E82"/>
    <w:rsid w:val="00F319E9"/>
    <w:rsid w:val="00F34341"/>
    <w:rsid w:val="00F355AA"/>
    <w:rsid w:val="00F35645"/>
    <w:rsid w:val="00F365CB"/>
    <w:rsid w:val="00F370E5"/>
    <w:rsid w:val="00F40D3E"/>
    <w:rsid w:val="00F41C29"/>
    <w:rsid w:val="00F41CB0"/>
    <w:rsid w:val="00F42753"/>
    <w:rsid w:val="00F442A2"/>
    <w:rsid w:val="00F446EC"/>
    <w:rsid w:val="00F458F2"/>
    <w:rsid w:val="00F50DF8"/>
    <w:rsid w:val="00F52166"/>
    <w:rsid w:val="00F52AEA"/>
    <w:rsid w:val="00F530CA"/>
    <w:rsid w:val="00F5615A"/>
    <w:rsid w:val="00F567DA"/>
    <w:rsid w:val="00F567FD"/>
    <w:rsid w:val="00F56A1E"/>
    <w:rsid w:val="00F56D06"/>
    <w:rsid w:val="00F57790"/>
    <w:rsid w:val="00F601BD"/>
    <w:rsid w:val="00F6199F"/>
    <w:rsid w:val="00F61B94"/>
    <w:rsid w:val="00F61F1F"/>
    <w:rsid w:val="00F64A52"/>
    <w:rsid w:val="00F65212"/>
    <w:rsid w:val="00F65415"/>
    <w:rsid w:val="00F655D5"/>
    <w:rsid w:val="00F66256"/>
    <w:rsid w:val="00F668B3"/>
    <w:rsid w:val="00F6706F"/>
    <w:rsid w:val="00F678DF"/>
    <w:rsid w:val="00F7080D"/>
    <w:rsid w:val="00F70D5B"/>
    <w:rsid w:val="00F70EF0"/>
    <w:rsid w:val="00F7159C"/>
    <w:rsid w:val="00F732E8"/>
    <w:rsid w:val="00F73502"/>
    <w:rsid w:val="00F73BE3"/>
    <w:rsid w:val="00F74AA0"/>
    <w:rsid w:val="00F75B73"/>
    <w:rsid w:val="00F75EB6"/>
    <w:rsid w:val="00F76D56"/>
    <w:rsid w:val="00F77F8A"/>
    <w:rsid w:val="00F808C9"/>
    <w:rsid w:val="00F811E7"/>
    <w:rsid w:val="00F8248A"/>
    <w:rsid w:val="00F859CE"/>
    <w:rsid w:val="00F8681F"/>
    <w:rsid w:val="00F86E10"/>
    <w:rsid w:val="00F87BD4"/>
    <w:rsid w:val="00F9263B"/>
    <w:rsid w:val="00F92DE9"/>
    <w:rsid w:val="00F930FA"/>
    <w:rsid w:val="00F9312C"/>
    <w:rsid w:val="00F9592A"/>
    <w:rsid w:val="00FA0A83"/>
    <w:rsid w:val="00FA0C91"/>
    <w:rsid w:val="00FA1792"/>
    <w:rsid w:val="00FA3167"/>
    <w:rsid w:val="00FA33F3"/>
    <w:rsid w:val="00FA6977"/>
    <w:rsid w:val="00FA69AB"/>
    <w:rsid w:val="00FB04B1"/>
    <w:rsid w:val="00FB0647"/>
    <w:rsid w:val="00FB0B80"/>
    <w:rsid w:val="00FB1611"/>
    <w:rsid w:val="00FB258E"/>
    <w:rsid w:val="00FB2FB0"/>
    <w:rsid w:val="00FB45D7"/>
    <w:rsid w:val="00FB4704"/>
    <w:rsid w:val="00FB4A64"/>
    <w:rsid w:val="00FB58C6"/>
    <w:rsid w:val="00FB5930"/>
    <w:rsid w:val="00FB5B60"/>
    <w:rsid w:val="00FB62B8"/>
    <w:rsid w:val="00FB631A"/>
    <w:rsid w:val="00FB6EB0"/>
    <w:rsid w:val="00FC09FC"/>
    <w:rsid w:val="00FC1749"/>
    <w:rsid w:val="00FC51B5"/>
    <w:rsid w:val="00FC5834"/>
    <w:rsid w:val="00FC5A2C"/>
    <w:rsid w:val="00FC5CAC"/>
    <w:rsid w:val="00FD0202"/>
    <w:rsid w:val="00FD14F3"/>
    <w:rsid w:val="00FD214C"/>
    <w:rsid w:val="00FD32A6"/>
    <w:rsid w:val="00FD6CCF"/>
    <w:rsid w:val="00FD799C"/>
    <w:rsid w:val="00FE0275"/>
    <w:rsid w:val="00FE0FCA"/>
    <w:rsid w:val="00FE12FB"/>
    <w:rsid w:val="00FE1599"/>
    <w:rsid w:val="00FE1D21"/>
    <w:rsid w:val="00FE2825"/>
    <w:rsid w:val="00FE2AA8"/>
    <w:rsid w:val="00FE307D"/>
    <w:rsid w:val="00FE43E5"/>
    <w:rsid w:val="00FE5695"/>
    <w:rsid w:val="00FE6F0C"/>
    <w:rsid w:val="00FE7161"/>
    <w:rsid w:val="00FE7657"/>
    <w:rsid w:val="00FF0C7C"/>
    <w:rsid w:val="00FF1212"/>
    <w:rsid w:val="00FF2568"/>
    <w:rsid w:val="00FF2B8D"/>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6CB9BC"/>
  <w15:docId w15:val="{2353D48E-839A-3A4D-80A1-C5377702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E4C"/>
    <w:pPr>
      <w:spacing w:after="120" w:line="360" w:lineRule="auto"/>
      <w:ind w:firstLine="360"/>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C40932"/>
    <w:pPr>
      <w:keepNext/>
      <w:keepLines/>
      <w:ind w:firstLine="0"/>
      <w:jc w:val="center"/>
      <w:outlineLvl w:val="0"/>
    </w:pPr>
    <w:rPr>
      <w:rFonts w:eastAsiaTheme="majorEastAsia" w:cs="Times New Roman (Headings CS)"/>
      <w:b/>
      <w:caps/>
      <w:color w:val="000000" w:themeColor="text1"/>
      <w:szCs w:val="32"/>
    </w:rPr>
  </w:style>
  <w:style w:type="paragraph" w:styleId="Heading2">
    <w:name w:val="heading 2"/>
    <w:basedOn w:val="Normal"/>
    <w:next w:val="Normal"/>
    <w:link w:val="Heading2Char"/>
    <w:uiPriority w:val="9"/>
    <w:unhideWhenUsed/>
    <w:qFormat/>
    <w:rsid w:val="00DE1E2B"/>
    <w:pPr>
      <w:keepNext/>
      <w:keepLines/>
      <w:numPr>
        <w:ilvl w:val="1"/>
        <w:numId w:val="5"/>
      </w:numPr>
      <w:spacing w:before="120"/>
      <w:ind w:left="0" w:firstLine="0"/>
      <w:jc w:val="left"/>
      <w:outlineLvl w:val="1"/>
    </w:pPr>
    <w:rPr>
      <w:rFonts w:eastAsiaTheme="majorEastAsia" w:cs="Times New Roman (Headings CS)"/>
      <w:b/>
      <w:i/>
      <w:caps/>
      <w:color w:val="000000" w:themeColor="text1"/>
      <w:sz w:val="22"/>
      <w:szCs w:val="26"/>
    </w:rPr>
  </w:style>
  <w:style w:type="paragraph" w:styleId="Heading3">
    <w:name w:val="heading 3"/>
    <w:basedOn w:val="Normal"/>
    <w:next w:val="Normal"/>
    <w:link w:val="Heading3Char"/>
    <w:uiPriority w:val="9"/>
    <w:unhideWhenUsed/>
    <w:qFormat/>
    <w:rsid w:val="0030772D"/>
    <w:pPr>
      <w:outlineLvl w:val="2"/>
    </w:pPr>
    <w:rPr>
      <w:i/>
      <w:iCs/>
      <w:u w:val="single"/>
    </w:rPr>
  </w:style>
  <w:style w:type="paragraph" w:styleId="Heading4">
    <w:name w:val="heading 4"/>
    <w:basedOn w:val="Normal"/>
    <w:next w:val="Normal"/>
    <w:link w:val="Heading4Char"/>
    <w:uiPriority w:val="9"/>
    <w:semiHidden/>
    <w:unhideWhenUsed/>
    <w:qFormat/>
    <w:rsid w:val="00AB3B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B3B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B3B7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B3B7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3B7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3B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932"/>
    <w:rPr>
      <w:rFonts w:eastAsiaTheme="majorEastAsia" w:cs="Times New Roman (Headings CS)"/>
      <w:b/>
      <w:caps/>
      <w:color w:val="000000" w:themeColor="text1"/>
      <w:szCs w:val="32"/>
    </w:rPr>
  </w:style>
  <w:style w:type="character" w:styleId="Hyperlink">
    <w:name w:val="Hyperlink"/>
    <w:basedOn w:val="DefaultParagraphFont"/>
    <w:uiPriority w:val="99"/>
    <w:unhideWhenUsed/>
    <w:rsid w:val="00210500"/>
    <w:rPr>
      <w:color w:val="0563C1" w:themeColor="hyperlink"/>
      <w:u w:val="single"/>
    </w:rPr>
  </w:style>
  <w:style w:type="character" w:styleId="UnresolvedMention">
    <w:name w:val="Unresolved Mention"/>
    <w:basedOn w:val="DefaultParagraphFont"/>
    <w:uiPriority w:val="99"/>
    <w:semiHidden/>
    <w:unhideWhenUsed/>
    <w:rsid w:val="00210500"/>
    <w:rPr>
      <w:color w:val="605E5C"/>
      <w:shd w:val="clear" w:color="auto" w:fill="E1DFDD"/>
    </w:rPr>
  </w:style>
  <w:style w:type="paragraph" w:styleId="Header">
    <w:name w:val="header"/>
    <w:basedOn w:val="Normal"/>
    <w:link w:val="HeaderChar"/>
    <w:uiPriority w:val="99"/>
    <w:unhideWhenUsed/>
    <w:rsid w:val="00210500"/>
    <w:pPr>
      <w:tabs>
        <w:tab w:val="center" w:pos="4680"/>
        <w:tab w:val="right" w:pos="9360"/>
      </w:tabs>
      <w:spacing w:after="0"/>
    </w:pPr>
  </w:style>
  <w:style w:type="character" w:customStyle="1" w:styleId="HeaderChar">
    <w:name w:val="Header Char"/>
    <w:basedOn w:val="DefaultParagraphFont"/>
    <w:link w:val="Header"/>
    <w:uiPriority w:val="99"/>
    <w:rsid w:val="00210500"/>
    <w:rPr>
      <w:rFonts w:ascii="Arial" w:hAnsi="Arial"/>
    </w:rPr>
  </w:style>
  <w:style w:type="paragraph" w:styleId="Footer">
    <w:name w:val="footer"/>
    <w:basedOn w:val="Normal"/>
    <w:link w:val="FooterChar"/>
    <w:uiPriority w:val="99"/>
    <w:unhideWhenUsed/>
    <w:rsid w:val="00210500"/>
    <w:pPr>
      <w:tabs>
        <w:tab w:val="center" w:pos="4680"/>
        <w:tab w:val="right" w:pos="9360"/>
      </w:tabs>
      <w:spacing w:after="0"/>
    </w:pPr>
  </w:style>
  <w:style w:type="character" w:customStyle="1" w:styleId="FooterChar">
    <w:name w:val="Footer Char"/>
    <w:basedOn w:val="DefaultParagraphFont"/>
    <w:link w:val="Footer"/>
    <w:uiPriority w:val="99"/>
    <w:rsid w:val="00210500"/>
    <w:rPr>
      <w:rFonts w:ascii="Arial" w:hAnsi="Arial"/>
    </w:rPr>
  </w:style>
  <w:style w:type="character" w:styleId="PageNumber">
    <w:name w:val="page number"/>
    <w:basedOn w:val="DefaultParagraphFont"/>
    <w:uiPriority w:val="99"/>
    <w:semiHidden/>
    <w:unhideWhenUsed/>
    <w:rsid w:val="00210500"/>
  </w:style>
  <w:style w:type="character" w:styleId="FollowedHyperlink">
    <w:name w:val="FollowedHyperlink"/>
    <w:basedOn w:val="DefaultParagraphFont"/>
    <w:uiPriority w:val="99"/>
    <w:semiHidden/>
    <w:unhideWhenUsed/>
    <w:rsid w:val="00816933"/>
    <w:rPr>
      <w:color w:val="954F72" w:themeColor="followedHyperlink"/>
      <w:u w:val="single"/>
    </w:rPr>
  </w:style>
  <w:style w:type="paragraph" w:styleId="Title">
    <w:name w:val="Title"/>
    <w:basedOn w:val="Normal"/>
    <w:next w:val="Normal"/>
    <w:link w:val="TitleChar"/>
    <w:uiPriority w:val="10"/>
    <w:qFormat/>
    <w:rsid w:val="00DE1E5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E5F"/>
    <w:rPr>
      <w:rFonts w:asciiTheme="majorHAnsi" w:eastAsiaTheme="majorEastAsia" w:hAnsiTheme="majorHAnsi" w:cstheme="majorBidi"/>
      <w:spacing w:val="-10"/>
      <w:kern w:val="28"/>
      <w:sz w:val="56"/>
      <w:szCs w:val="56"/>
    </w:rPr>
  </w:style>
  <w:style w:type="paragraph" w:customStyle="1" w:styleId="Refs">
    <w:name w:val="Refs"/>
    <w:basedOn w:val="Normal"/>
    <w:qFormat/>
    <w:rsid w:val="00601D3B"/>
    <w:pPr>
      <w:spacing w:after="0"/>
      <w:ind w:left="288" w:hanging="288"/>
    </w:pPr>
    <w:rPr>
      <w:sz w:val="22"/>
    </w:rPr>
  </w:style>
  <w:style w:type="table" w:styleId="TableGrid">
    <w:name w:val="Table Grid"/>
    <w:basedOn w:val="TableNormal"/>
    <w:uiPriority w:val="59"/>
    <w:rsid w:val="007D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43DA"/>
    <w:rPr>
      <w:color w:val="808080"/>
    </w:rPr>
  </w:style>
  <w:style w:type="paragraph" w:customStyle="1" w:styleId="Default">
    <w:name w:val="Default"/>
    <w:rsid w:val="00E70FFC"/>
    <w:pPr>
      <w:autoSpaceDE w:val="0"/>
      <w:autoSpaceDN w:val="0"/>
      <w:adjustRightInd w:val="0"/>
    </w:pPr>
    <w:rPr>
      <w:rFonts w:ascii="Times New Roman" w:hAnsi="Times New Roman" w:cs="Times New Roman"/>
      <w:color w:val="000000"/>
    </w:rPr>
  </w:style>
  <w:style w:type="character" w:styleId="HTMLCite">
    <w:name w:val="HTML Cite"/>
    <w:basedOn w:val="DefaultParagraphFont"/>
    <w:uiPriority w:val="99"/>
    <w:semiHidden/>
    <w:unhideWhenUsed/>
    <w:rsid w:val="00E70FFC"/>
    <w:rPr>
      <w:i/>
      <w:iCs/>
    </w:rPr>
  </w:style>
  <w:style w:type="character" w:customStyle="1" w:styleId="cit-name-surname">
    <w:name w:val="cit-name-surname"/>
    <w:basedOn w:val="DefaultParagraphFont"/>
    <w:rsid w:val="00E70FFC"/>
  </w:style>
  <w:style w:type="character" w:customStyle="1" w:styleId="cit-pub-date">
    <w:name w:val="cit-pub-date"/>
    <w:basedOn w:val="DefaultParagraphFont"/>
    <w:rsid w:val="00E70FFC"/>
  </w:style>
  <w:style w:type="character" w:customStyle="1" w:styleId="cit-article-title">
    <w:name w:val="cit-article-title"/>
    <w:basedOn w:val="DefaultParagraphFont"/>
    <w:rsid w:val="00E70FFC"/>
  </w:style>
  <w:style w:type="character" w:styleId="Strong">
    <w:name w:val="Strong"/>
    <w:basedOn w:val="DefaultParagraphFont"/>
    <w:uiPriority w:val="22"/>
    <w:qFormat/>
    <w:rsid w:val="00E70FFC"/>
    <w:rPr>
      <w:b/>
      <w:bCs/>
    </w:rPr>
  </w:style>
  <w:style w:type="character" w:customStyle="1" w:styleId="cit-fpage">
    <w:name w:val="cit-fpage"/>
    <w:basedOn w:val="DefaultParagraphFont"/>
    <w:rsid w:val="00E70FFC"/>
  </w:style>
  <w:style w:type="character" w:customStyle="1" w:styleId="cit-lpage">
    <w:name w:val="cit-lpage"/>
    <w:basedOn w:val="DefaultParagraphFont"/>
    <w:rsid w:val="00E70FFC"/>
  </w:style>
  <w:style w:type="character" w:customStyle="1" w:styleId="Heading2Char">
    <w:name w:val="Heading 2 Char"/>
    <w:basedOn w:val="DefaultParagraphFont"/>
    <w:link w:val="Heading2"/>
    <w:uiPriority w:val="9"/>
    <w:rsid w:val="00DE1E2B"/>
    <w:rPr>
      <w:rFonts w:eastAsiaTheme="majorEastAsia" w:cs="Times New Roman (Headings CS)"/>
      <w:b/>
      <w:i/>
      <w:caps/>
      <w:color w:val="000000" w:themeColor="text1"/>
      <w:sz w:val="22"/>
      <w:szCs w:val="26"/>
    </w:rPr>
  </w:style>
  <w:style w:type="paragraph" w:styleId="Caption">
    <w:name w:val="caption"/>
    <w:basedOn w:val="Normal"/>
    <w:next w:val="Normal"/>
    <w:uiPriority w:val="35"/>
    <w:unhideWhenUsed/>
    <w:qFormat/>
    <w:rsid w:val="007E00F8"/>
    <w:pPr>
      <w:spacing w:before="120" w:line="240" w:lineRule="auto"/>
      <w:ind w:firstLine="0"/>
      <w:jc w:val="left"/>
    </w:pPr>
    <w:rPr>
      <w:iCs/>
      <w:color w:val="000000" w:themeColor="text1"/>
      <w:sz w:val="20"/>
      <w:szCs w:val="18"/>
    </w:rPr>
  </w:style>
  <w:style w:type="character" w:customStyle="1" w:styleId="Heading3Char">
    <w:name w:val="Heading 3 Char"/>
    <w:basedOn w:val="DefaultParagraphFont"/>
    <w:link w:val="Heading3"/>
    <w:uiPriority w:val="9"/>
    <w:rsid w:val="0030772D"/>
    <w:rPr>
      <w:rFonts w:ascii="Arial" w:hAnsi="Arial"/>
      <w:i/>
      <w:iCs/>
      <w:u w:val="single"/>
    </w:rPr>
  </w:style>
  <w:style w:type="character" w:customStyle="1" w:styleId="Heading4Char">
    <w:name w:val="Heading 4 Char"/>
    <w:basedOn w:val="DefaultParagraphFont"/>
    <w:link w:val="Heading4"/>
    <w:uiPriority w:val="9"/>
    <w:semiHidden/>
    <w:rsid w:val="00AB3B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B3B7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B3B7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B3B7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B3B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3B7F"/>
    <w:rPr>
      <w:rFonts w:asciiTheme="majorHAnsi" w:eastAsiaTheme="majorEastAsia" w:hAnsiTheme="majorHAnsi" w:cstheme="majorBidi"/>
      <w:i/>
      <w:iCs/>
      <w:color w:val="272727" w:themeColor="text1" w:themeTint="D8"/>
      <w:sz w:val="21"/>
      <w:szCs w:val="21"/>
    </w:rPr>
  </w:style>
  <w:style w:type="table" w:styleId="PlainTable4">
    <w:name w:val="Plain Table 4"/>
    <w:basedOn w:val="TableNormal"/>
    <w:uiPriority w:val="44"/>
    <w:rsid w:val="00AA2A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A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AA2A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AA2A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A2A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AA2A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
    <w:name w:val="Grid Table 6 Colorful"/>
    <w:basedOn w:val="TableNormal"/>
    <w:uiPriority w:val="51"/>
    <w:rsid w:val="00AA2A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3">
    <w:name w:val="List Table 5 Dark Accent 3"/>
    <w:basedOn w:val="TableNormal"/>
    <w:uiPriority w:val="50"/>
    <w:rsid w:val="00AA2A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AA2A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5">
    <w:name w:val="List Table 2 Accent 5"/>
    <w:basedOn w:val="TableNormal"/>
    <w:uiPriority w:val="47"/>
    <w:rsid w:val="00AA2A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ference">
    <w:name w:val="reference"/>
    <w:basedOn w:val="Normal"/>
    <w:qFormat/>
    <w:rsid w:val="001F2EE2"/>
    <w:pPr>
      <w:ind w:left="360" w:hanging="360"/>
    </w:pPr>
    <w:rPr>
      <w:snapToGrid w:val="0"/>
    </w:rPr>
  </w:style>
  <w:style w:type="paragraph" w:customStyle="1" w:styleId="xmsonormal">
    <w:name w:val="x_msonormal"/>
    <w:basedOn w:val="Normal"/>
    <w:rsid w:val="00BF4451"/>
    <w:pPr>
      <w:spacing w:before="100" w:beforeAutospacing="1" w:after="100" w:afterAutospacing="1"/>
      <w:jc w:val="left"/>
    </w:pPr>
  </w:style>
  <w:style w:type="table" w:styleId="ListTable4-Accent3">
    <w:name w:val="List Table 4 Accent 3"/>
    <w:basedOn w:val="TableNormal"/>
    <w:uiPriority w:val="49"/>
    <w:rsid w:val="00A820F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DB3C7F"/>
    <w:pPr>
      <w:ind w:left="720"/>
      <w:contextualSpacing/>
    </w:pPr>
  </w:style>
  <w:style w:type="character" w:styleId="Emphasis">
    <w:name w:val="Emphasis"/>
    <w:basedOn w:val="DefaultParagraphFont"/>
    <w:uiPriority w:val="20"/>
    <w:qFormat/>
    <w:rsid w:val="005D62F5"/>
    <w:rPr>
      <w:i/>
      <w:iCs/>
    </w:rPr>
  </w:style>
  <w:style w:type="paragraph" w:styleId="TOCHeading">
    <w:name w:val="TOC Heading"/>
    <w:basedOn w:val="Heading1"/>
    <w:next w:val="Normal"/>
    <w:uiPriority w:val="39"/>
    <w:unhideWhenUsed/>
    <w:qFormat/>
    <w:rsid w:val="003F41E8"/>
    <w:pPr>
      <w:spacing w:before="480" w:after="0" w:line="276" w:lineRule="auto"/>
      <w:jc w:val="left"/>
      <w:outlineLvl w:val="9"/>
    </w:pPr>
    <w:rPr>
      <w:bCs/>
      <w:szCs w:val="28"/>
    </w:rPr>
  </w:style>
  <w:style w:type="paragraph" w:styleId="TOC1">
    <w:name w:val="toc 1"/>
    <w:basedOn w:val="Normal"/>
    <w:next w:val="Normal"/>
    <w:autoRedefine/>
    <w:uiPriority w:val="39"/>
    <w:unhideWhenUsed/>
    <w:rsid w:val="00416C29"/>
    <w:pPr>
      <w:tabs>
        <w:tab w:val="left" w:pos="480"/>
        <w:tab w:val="right" w:leader="dot" w:pos="9350"/>
      </w:tabs>
      <w:spacing w:before="60" w:after="60"/>
      <w:jc w:val="center"/>
    </w:pPr>
    <w:rPr>
      <w:b/>
      <w:bCs/>
      <w:i/>
      <w:iCs/>
    </w:rPr>
  </w:style>
  <w:style w:type="paragraph" w:styleId="TOC2">
    <w:name w:val="toc 2"/>
    <w:basedOn w:val="Normal"/>
    <w:next w:val="Normal"/>
    <w:autoRedefine/>
    <w:uiPriority w:val="39"/>
    <w:unhideWhenUsed/>
    <w:rsid w:val="00416C29"/>
    <w:pPr>
      <w:tabs>
        <w:tab w:val="left" w:pos="960"/>
        <w:tab w:val="right" w:leader="dot" w:pos="9350"/>
      </w:tabs>
      <w:spacing w:before="60" w:after="60"/>
      <w:ind w:left="144"/>
      <w:jc w:val="center"/>
    </w:pPr>
    <w:rPr>
      <w:i/>
      <w:iCs/>
      <w:sz w:val="20"/>
      <w:szCs w:val="20"/>
    </w:rPr>
  </w:style>
  <w:style w:type="paragraph" w:styleId="TOC3">
    <w:name w:val="toc 3"/>
    <w:basedOn w:val="Normal"/>
    <w:next w:val="Normal"/>
    <w:autoRedefine/>
    <w:uiPriority w:val="39"/>
    <w:unhideWhenUsed/>
    <w:rsid w:val="00024E6A"/>
    <w:pPr>
      <w:spacing w:before="120"/>
      <w:ind w:left="240"/>
      <w:jc w:val="center"/>
    </w:pPr>
    <w:rPr>
      <w:sz w:val="20"/>
      <w:szCs w:val="20"/>
    </w:rPr>
  </w:style>
  <w:style w:type="paragraph" w:styleId="TOC4">
    <w:name w:val="toc 4"/>
    <w:basedOn w:val="Normal"/>
    <w:next w:val="Normal"/>
    <w:autoRedefine/>
    <w:uiPriority w:val="39"/>
    <w:semiHidden/>
    <w:unhideWhenUsed/>
    <w:rsid w:val="003F41E8"/>
    <w:pPr>
      <w:pBdr>
        <w:between w:val="double" w:sz="6" w:space="0" w:color="auto"/>
      </w:pBdr>
      <w:spacing w:before="120"/>
      <w:ind w:left="480"/>
      <w:jc w:val="center"/>
    </w:pPr>
    <w:rPr>
      <w:sz w:val="20"/>
      <w:szCs w:val="20"/>
    </w:rPr>
  </w:style>
  <w:style w:type="paragraph" w:styleId="TOC5">
    <w:name w:val="toc 5"/>
    <w:basedOn w:val="Normal"/>
    <w:next w:val="Normal"/>
    <w:autoRedefine/>
    <w:uiPriority w:val="39"/>
    <w:semiHidden/>
    <w:unhideWhenUsed/>
    <w:rsid w:val="003F41E8"/>
    <w:pPr>
      <w:pBdr>
        <w:between w:val="double" w:sz="6" w:space="0" w:color="auto"/>
      </w:pBdr>
      <w:spacing w:before="120"/>
      <w:ind w:left="720"/>
      <w:jc w:val="center"/>
    </w:pPr>
    <w:rPr>
      <w:sz w:val="20"/>
      <w:szCs w:val="20"/>
    </w:rPr>
  </w:style>
  <w:style w:type="paragraph" w:styleId="TOC6">
    <w:name w:val="toc 6"/>
    <w:basedOn w:val="Normal"/>
    <w:next w:val="Normal"/>
    <w:autoRedefine/>
    <w:uiPriority w:val="39"/>
    <w:semiHidden/>
    <w:unhideWhenUsed/>
    <w:rsid w:val="003F41E8"/>
    <w:pPr>
      <w:pBdr>
        <w:between w:val="double" w:sz="6" w:space="0" w:color="auto"/>
      </w:pBdr>
      <w:spacing w:before="120"/>
      <w:ind w:left="960"/>
      <w:jc w:val="center"/>
    </w:pPr>
    <w:rPr>
      <w:sz w:val="20"/>
      <w:szCs w:val="20"/>
    </w:rPr>
  </w:style>
  <w:style w:type="paragraph" w:styleId="TOC7">
    <w:name w:val="toc 7"/>
    <w:basedOn w:val="Normal"/>
    <w:next w:val="Normal"/>
    <w:autoRedefine/>
    <w:uiPriority w:val="39"/>
    <w:semiHidden/>
    <w:unhideWhenUsed/>
    <w:rsid w:val="003F41E8"/>
    <w:pPr>
      <w:pBdr>
        <w:between w:val="double" w:sz="6" w:space="0" w:color="auto"/>
      </w:pBdr>
      <w:spacing w:before="120"/>
      <w:ind w:left="1200"/>
      <w:jc w:val="center"/>
    </w:pPr>
    <w:rPr>
      <w:sz w:val="20"/>
      <w:szCs w:val="20"/>
    </w:rPr>
  </w:style>
  <w:style w:type="paragraph" w:styleId="TOC8">
    <w:name w:val="toc 8"/>
    <w:basedOn w:val="Normal"/>
    <w:next w:val="Normal"/>
    <w:autoRedefine/>
    <w:uiPriority w:val="39"/>
    <w:semiHidden/>
    <w:unhideWhenUsed/>
    <w:rsid w:val="003F41E8"/>
    <w:pPr>
      <w:pBdr>
        <w:between w:val="double" w:sz="6" w:space="0" w:color="auto"/>
      </w:pBdr>
      <w:spacing w:before="120"/>
      <w:ind w:left="1440"/>
      <w:jc w:val="center"/>
    </w:pPr>
    <w:rPr>
      <w:sz w:val="20"/>
      <w:szCs w:val="20"/>
    </w:rPr>
  </w:style>
  <w:style w:type="paragraph" w:styleId="TOC9">
    <w:name w:val="toc 9"/>
    <w:basedOn w:val="Normal"/>
    <w:next w:val="Normal"/>
    <w:autoRedefine/>
    <w:uiPriority w:val="39"/>
    <w:semiHidden/>
    <w:unhideWhenUsed/>
    <w:rsid w:val="003F41E8"/>
    <w:pPr>
      <w:pBdr>
        <w:between w:val="double" w:sz="6" w:space="0" w:color="auto"/>
      </w:pBdr>
      <w:spacing w:before="120"/>
      <w:ind w:left="1680"/>
      <w:jc w:val="center"/>
    </w:pPr>
    <w:rPr>
      <w:sz w:val="20"/>
      <w:szCs w:val="20"/>
    </w:rPr>
  </w:style>
  <w:style w:type="paragraph" w:styleId="BalloonText">
    <w:name w:val="Balloon Text"/>
    <w:basedOn w:val="Normal"/>
    <w:link w:val="BalloonTextChar"/>
    <w:uiPriority w:val="99"/>
    <w:semiHidden/>
    <w:unhideWhenUsed/>
    <w:rsid w:val="002D6F50"/>
    <w:pPr>
      <w:spacing w:after="0"/>
    </w:pPr>
    <w:rPr>
      <w:sz w:val="18"/>
      <w:szCs w:val="18"/>
    </w:rPr>
  </w:style>
  <w:style w:type="character" w:customStyle="1" w:styleId="BalloonTextChar">
    <w:name w:val="Balloon Text Char"/>
    <w:basedOn w:val="DefaultParagraphFont"/>
    <w:link w:val="BalloonText"/>
    <w:uiPriority w:val="99"/>
    <w:semiHidden/>
    <w:rsid w:val="002D6F5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C04E6"/>
    <w:rPr>
      <w:sz w:val="16"/>
      <w:szCs w:val="16"/>
    </w:rPr>
  </w:style>
  <w:style w:type="paragraph" w:styleId="CommentText">
    <w:name w:val="annotation text"/>
    <w:basedOn w:val="Normal"/>
    <w:link w:val="CommentTextChar"/>
    <w:uiPriority w:val="99"/>
    <w:semiHidden/>
    <w:unhideWhenUsed/>
    <w:rsid w:val="00EC04E6"/>
    <w:rPr>
      <w:sz w:val="20"/>
      <w:szCs w:val="20"/>
    </w:rPr>
  </w:style>
  <w:style w:type="character" w:customStyle="1" w:styleId="CommentTextChar">
    <w:name w:val="Comment Text Char"/>
    <w:basedOn w:val="DefaultParagraphFont"/>
    <w:link w:val="CommentText"/>
    <w:uiPriority w:val="99"/>
    <w:semiHidden/>
    <w:rsid w:val="00EC04E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04E6"/>
    <w:rPr>
      <w:b/>
      <w:bCs/>
    </w:rPr>
  </w:style>
  <w:style w:type="character" w:customStyle="1" w:styleId="CommentSubjectChar">
    <w:name w:val="Comment Subject Char"/>
    <w:basedOn w:val="CommentTextChar"/>
    <w:link w:val="CommentSubject"/>
    <w:uiPriority w:val="99"/>
    <w:semiHidden/>
    <w:rsid w:val="00EC04E6"/>
    <w:rPr>
      <w:rFonts w:ascii="Arial" w:hAnsi="Arial"/>
      <w:b/>
      <w:bCs/>
      <w:sz w:val="20"/>
      <w:szCs w:val="20"/>
    </w:rPr>
  </w:style>
  <w:style w:type="paragraph" w:styleId="FootnoteText">
    <w:name w:val="footnote text"/>
    <w:basedOn w:val="Normal"/>
    <w:link w:val="FootnoteTextChar"/>
    <w:uiPriority w:val="99"/>
    <w:semiHidden/>
    <w:unhideWhenUsed/>
    <w:rsid w:val="00C65F8C"/>
    <w:pPr>
      <w:spacing w:after="0"/>
    </w:pPr>
    <w:rPr>
      <w:sz w:val="20"/>
      <w:szCs w:val="20"/>
    </w:rPr>
  </w:style>
  <w:style w:type="character" w:customStyle="1" w:styleId="FootnoteTextChar">
    <w:name w:val="Footnote Text Char"/>
    <w:basedOn w:val="DefaultParagraphFont"/>
    <w:link w:val="FootnoteText"/>
    <w:uiPriority w:val="99"/>
    <w:semiHidden/>
    <w:rsid w:val="00C65F8C"/>
    <w:rPr>
      <w:rFonts w:ascii="Arial" w:hAnsi="Arial"/>
      <w:sz w:val="20"/>
      <w:szCs w:val="20"/>
    </w:rPr>
  </w:style>
  <w:style w:type="character" w:styleId="FootnoteReference">
    <w:name w:val="footnote reference"/>
    <w:basedOn w:val="DefaultParagraphFont"/>
    <w:uiPriority w:val="99"/>
    <w:semiHidden/>
    <w:unhideWhenUsed/>
    <w:rsid w:val="00C65F8C"/>
    <w:rPr>
      <w:vertAlign w:val="superscript"/>
    </w:rPr>
  </w:style>
  <w:style w:type="paragraph" w:styleId="Revision">
    <w:name w:val="Revision"/>
    <w:hidden/>
    <w:uiPriority w:val="99"/>
    <w:semiHidden/>
    <w:rsid w:val="005A75DF"/>
    <w:rPr>
      <w:rFonts w:ascii="Arial" w:hAnsi="Arial"/>
    </w:rPr>
  </w:style>
  <w:style w:type="table" w:styleId="ListTable6Colorful">
    <w:name w:val="List Table 6 Colorful"/>
    <w:basedOn w:val="TableNormal"/>
    <w:uiPriority w:val="51"/>
    <w:rsid w:val="00BB76C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7345EC"/>
  </w:style>
  <w:style w:type="table" w:styleId="PlainTable3">
    <w:name w:val="Plain Table 3"/>
    <w:basedOn w:val="TableNormal"/>
    <w:uiPriority w:val="43"/>
    <w:rsid w:val="00EE33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1">
    <w:name w:val="List Table 3 Accent 1"/>
    <w:basedOn w:val="TableNormal"/>
    <w:uiPriority w:val="48"/>
    <w:rsid w:val="00BB4F2C"/>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3">
    <w:name w:val="List Table 3 Accent 3"/>
    <w:basedOn w:val="TableNormal"/>
    <w:uiPriority w:val="48"/>
    <w:rsid w:val="00BB4F2C"/>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6Colorful-Accent5">
    <w:name w:val="List Table 6 Colorful Accent 5"/>
    <w:basedOn w:val="TableNormal"/>
    <w:uiPriority w:val="51"/>
    <w:rsid w:val="00BB4F2C"/>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3">
    <w:name w:val="List Table 6 Colorful Accent 3"/>
    <w:basedOn w:val="TableNormal"/>
    <w:uiPriority w:val="51"/>
    <w:rsid w:val="00BB4F2C"/>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BB4F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s">
    <w:name w:val="references"/>
    <w:basedOn w:val="Normal"/>
    <w:qFormat/>
    <w:rsid w:val="007A2606"/>
    <w:pPr>
      <w:ind w:left="360" w:hanging="360"/>
    </w:pPr>
    <w:rPr>
      <w:rFonts w:ascii="Arial" w:eastAsiaTheme="minorHAnsi" w:hAnsi="Arial" w:cstheme="minorBidi"/>
      <w:sz w:val="22"/>
      <w:szCs w:val="22"/>
    </w:rPr>
  </w:style>
  <w:style w:type="numbering" w:customStyle="1" w:styleId="CurrentList1">
    <w:name w:val="Current List1"/>
    <w:uiPriority w:val="99"/>
    <w:rsid w:val="00DE437E"/>
    <w:pPr>
      <w:numPr>
        <w:numId w:val="33"/>
      </w:numPr>
    </w:pPr>
  </w:style>
  <w:style w:type="character" w:styleId="LineNumber">
    <w:name w:val="line number"/>
    <w:basedOn w:val="DefaultParagraphFont"/>
    <w:uiPriority w:val="99"/>
    <w:semiHidden/>
    <w:unhideWhenUsed/>
    <w:rsid w:val="00537528"/>
  </w:style>
  <w:style w:type="numbering" w:customStyle="1" w:styleId="CurrentList2">
    <w:name w:val="Current List2"/>
    <w:uiPriority w:val="99"/>
    <w:rsid w:val="008852EE"/>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1047">
      <w:bodyDiv w:val="1"/>
      <w:marLeft w:val="0"/>
      <w:marRight w:val="0"/>
      <w:marTop w:val="0"/>
      <w:marBottom w:val="0"/>
      <w:divBdr>
        <w:top w:val="none" w:sz="0" w:space="0" w:color="auto"/>
        <w:left w:val="none" w:sz="0" w:space="0" w:color="auto"/>
        <w:bottom w:val="none" w:sz="0" w:space="0" w:color="auto"/>
        <w:right w:val="none" w:sz="0" w:space="0" w:color="auto"/>
      </w:divBdr>
    </w:div>
    <w:div w:id="84351770">
      <w:bodyDiv w:val="1"/>
      <w:marLeft w:val="0"/>
      <w:marRight w:val="0"/>
      <w:marTop w:val="0"/>
      <w:marBottom w:val="0"/>
      <w:divBdr>
        <w:top w:val="none" w:sz="0" w:space="0" w:color="auto"/>
        <w:left w:val="none" w:sz="0" w:space="0" w:color="auto"/>
        <w:bottom w:val="none" w:sz="0" w:space="0" w:color="auto"/>
        <w:right w:val="none" w:sz="0" w:space="0" w:color="auto"/>
      </w:divBdr>
    </w:div>
    <w:div w:id="117914652">
      <w:bodyDiv w:val="1"/>
      <w:marLeft w:val="0"/>
      <w:marRight w:val="0"/>
      <w:marTop w:val="0"/>
      <w:marBottom w:val="0"/>
      <w:divBdr>
        <w:top w:val="none" w:sz="0" w:space="0" w:color="auto"/>
        <w:left w:val="none" w:sz="0" w:space="0" w:color="auto"/>
        <w:bottom w:val="none" w:sz="0" w:space="0" w:color="auto"/>
        <w:right w:val="none" w:sz="0" w:space="0" w:color="auto"/>
      </w:divBdr>
    </w:div>
    <w:div w:id="127743655">
      <w:bodyDiv w:val="1"/>
      <w:marLeft w:val="0"/>
      <w:marRight w:val="0"/>
      <w:marTop w:val="0"/>
      <w:marBottom w:val="0"/>
      <w:divBdr>
        <w:top w:val="none" w:sz="0" w:space="0" w:color="auto"/>
        <w:left w:val="none" w:sz="0" w:space="0" w:color="auto"/>
        <w:bottom w:val="none" w:sz="0" w:space="0" w:color="auto"/>
        <w:right w:val="none" w:sz="0" w:space="0" w:color="auto"/>
      </w:divBdr>
    </w:div>
    <w:div w:id="135412857">
      <w:bodyDiv w:val="1"/>
      <w:marLeft w:val="0"/>
      <w:marRight w:val="0"/>
      <w:marTop w:val="0"/>
      <w:marBottom w:val="0"/>
      <w:divBdr>
        <w:top w:val="none" w:sz="0" w:space="0" w:color="auto"/>
        <w:left w:val="none" w:sz="0" w:space="0" w:color="auto"/>
        <w:bottom w:val="none" w:sz="0" w:space="0" w:color="auto"/>
        <w:right w:val="none" w:sz="0" w:space="0" w:color="auto"/>
      </w:divBdr>
    </w:div>
    <w:div w:id="176430077">
      <w:bodyDiv w:val="1"/>
      <w:marLeft w:val="0"/>
      <w:marRight w:val="0"/>
      <w:marTop w:val="0"/>
      <w:marBottom w:val="0"/>
      <w:divBdr>
        <w:top w:val="none" w:sz="0" w:space="0" w:color="auto"/>
        <w:left w:val="none" w:sz="0" w:space="0" w:color="auto"/>
        <w:bottom w:val="none" w:sz="0" w:space="0" w:color="auto"/>
        <w:right w:val="none" w:sz="0" w:space="0" w:color="auto"/>
      </w:divBdr>
      <w:divsChild>
        <w:div w:id="7566861">
          <w:marLeft w:val="0"/>
          <w:marRight w:val="0"/>
          <w:marTop w:val="0"/>
          <w:marBottom w:val="0"/>
          <w:divBdr>
            <w:top w:val="none" w:sz="0" w:space="0" w:color="auto"/>
            <w:left w:val="none" w:sz="0" w:space="0" w:color="auto"/>
            <w:bottom w:val="none" w:sz="0" w:space="0" w:color="auto"/>
            <w:right w:val="none" w:sz="0" w:space="0" w:color="auto"/>
          </w:divBdr>
          <w:divsChild>
            <w:div w:id="6897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03881">
      <w:bodyDiv w:val="1"/>
      <w:marLeft w:val="0"/>
      <w:marRight w:val="0"/>
      <w:marTop w:val="0"/>
      <w:marBottom w:val="0"/>
      <w:divBdr>
        <w:top w:val="none" w:sz="0" w:space="0" w:color="auto"/>
        <w:left w:val="none" w:sz="0" w:space="0" w:color="auto"/>
        <w:bottom w:val="none" w:sz="0" w:space="0" w:color="auto"/>
        <w:right w:val="none" w:sz="0" w:space="0" w:color="auto"/>
      </w:divBdr>
    </w:div>
    <w:div w:id="278728089">
      <w:bodyDiv w:val="1"/>
      <w:marLeft w:val="0"/>
      <w:marRight w:val="0"/>
      <w:marTop w:val="0"/>
      <w:marBottom w:val="0"/>
      <w:divBdr>
        <w:top w:val="none" w:sz="0" w:space="0" w:color="auto"/>
        <w:left w:val="none" w:sz="0" w:space="0" w:color="auto"/>
        <w:bottom w:val="none" w:sz="0" w:space="0" w:color="auto"/>
        <w:right w:val="none" w:sz="0" w:space="0" w:color="auto"/>
      </w:divBdr>
    </w:div>
    <w:div w:id="284383928">
      <w:bodyDiv w:val="1"/>
      <w:marLeft w:val="0"/>
      <w:marRight w:val="0"/>
      <w:marTop w:val="0"/>
      <w:marBottom w:val="0"/>
      <w:divBdr>
        <w:top w:val="none" w:sz="0" w:space="0" w:color="auto"/>
        <w:left w:val="none" w:sz="0" w:space="0" w:color="auto"/>
        <w:bottom w:val="none" w:sz="0" w:space="0" w:color="auto"/>
        <w:right w:val="none" w:sz="0" w:space="0" w:color="auto"/>
      </w:divBdr>
    </w:div>
    <w:div w:id="334261929">
      <w:bodyDiv w:val="1"/>
      <w:marLeft w:val="0"/>
      <w:marRight w:val="0"/>
      <w:marTop w:val="0"/>
      <w:marBottom w:val="0"/>
      <w:divBdr>
        <w:top w:val="none" w:sz="0" w:space="0" w:color="auto"/>
        <w:left w:val="none" w:sz="0" w:space="0" w:color="auto"/>
        <w:bottom w:val="none" w:sz="0" w:space="0" w:color="auto"/>
        <w:right w:val="none" w:sz="0" w:space="0" w:color="auto"/>
      </w:divBdr>
    </w:div>
    <w:div w:id="341247875">
      <w:bodyDiv w:val="1"/>
      <w:marLeft w:val="0"/>
      <w:marRight w:val="0"/>
      <w:marTop w:val="0"/>
      <w:marBottom w:val="0"/>
      <w:divBdr>
        <w:top w:val="none" w:sz="0" w:space="0" w:color="auto"/>
        <w:left w:val="none" w:sz="0" w:space="0" w:color="auto"/>
        <w:bottom w:val="none" w:sz="0" w:space="0" w:color="auto"/>
        <w:right w:val="none" w:sz="0" w:space="0" w:color="auto"/>
      </w:divBdr>
    </w:div>
    <w:div w:id="344132450">
      <w:bodyDiv w:val="1"/>
      <w:marLeft w:val="0"/>
      <w:marRight w:val="0"/>
      <w:marTop w:val="0"/>
      <w:marBottom w:val="0"/>
      <w:divBdr>
        <w:top w:val="none" w:sz="0" w:space="0" w:color="auto"/>
        <w:left w:val="none" w:sz="0" w:space="0" w:color="auto"/>
        <w:bottom w:val="none" w:sz="0" w:space="0" w:color="auto"/>
        <w:right w:val="none" w:sz="0" w:space="0" w:color="auto"/>
      </w:divBdr>
    </w:div>
    <w:div w:id="356931554">
      <w:bodyDiv w:val="1"/>
      <w:marLeft w:val="0"/>
      <w:marRight w:val="0"/>
      <w:marTop w:val="0"/>
      <w:marBottom w:val="0"/>
      <w:divBdr>
        <w:top w:val="none" w:sz="0" w:space="0" w:color="auto"/>
        <w:left w:val="none" w:sz="0" w:space="0" w:color="auto"/>
        <w:bottom w:val="none" w:sz="0" w:space="0" w:color="auto"/>
        <w:right w:val="none" w:sz="0" w:space="0" w:color="auto"/>
      </w:divBdr>
    </w:div>
    <w:div w:id="390156336">
      <w:bodyDiv w:val="1"/>
      <w:marLeft w:val="0"/>
      <w:marRight w:val="0"/>
      <w:marTop w:val="0"/>
      <w:marBottom w:val="0"/>
      <w:divBdr>
        <w:top w:val="none" w:sz="0" w:space="0" w:color="auto"/>
        <w:left w:val="none" w:sz="0" w:space="0" w:color="auto"/>
        <w:bottom w:val="none" w:sz="0" w:space="0" w:color="auto"/>
        <w:right w:val="none" w:sz="0" w:space="0" w:color="auto"/>
      </w:divBdr>
    </w:div>
    <w:div w:id="430855615">
      <w:bodyDiv w:val="1"/>
      <w:marLeft w:val="0"/>
      <w:marRight w:val="0"/>
      <w:marTop w:val="0"/>
      <w:marBottom w:val="0"/>
      <w:divBdr>
        <w:top w:val="none" w:sz="0" w:space="0" w:color="auto"/>
        <w:left w:val="none" w:sz="0" w:space="0" w:color="auto"/>
        <w:bottom w:val="none" w:sz="0" w:space="0" w:color="auto"/>
        <w:right w:val="none" w:sz="0" w:space="0" w:color="auto"/>
      </w:divBdr>
    </w:div>
    <w:div w:id="563225967">
      <w:bodyDiv w:val="1"/>
      <w:marLeft w:val="0"/>
      <w:marRight w:val="0"/>
      <w:marTop w:val="0"/>
      <w:marBottom w:val="0"/>
      <w:divBdr>
        <w:top w:val="none" w:sz="0" w:space="0" w:color="auto"/>
        <w:left w:val="none" w:sz="0" w:space="0" w:color="auto"/>
        <w:bottom w:val="none" w:sz="0" w:space="0" w:color="auto"/>
        <w:right w:val="none" w:sz="0" w:space="0" w:color="auto"/>
      </w:divBdr>
    </w:div>
    <w:div w:id="566182753">
      <w:bodyDiv w:val="1"/>
      <w:marLeft w:val="0"/>
      <w:marRight w:val="0"/>
      <w:marTop w:val="0"/>
      <w:marBottom w:val="0"/>
      <w:divBdr>
        <w:top w:val="none" w:sz="0" w:space="0" w:color="auto"/>
        <w:left w:val="none" w:sz="0" w:space="0" w:color="auto"/>
        <w:bottom w:val="none" w:sz="0" w:space="0" w:color="auto"/>
        <w:right w:val="none" w:sz="0" w:space="0" w:color="auto"/>
      </w:divBdr>
    </w:div>
    <w:div w:id="586621616">
      <w:bodyDiv w:val="1"/>
      <w:marLeft w:val="0"/>
      <w:marRight w:val="0"/>
      <w:marTop w:val="0"/>
      <w:marBottom w:val="0"/>
      <w:divBdr>
        <w:top w:val="none" w:sz="0" w:space="0" w:color="auto"/>
        <w:left w:val="none" w:sz="0" w:space="0" w:color="auto"/>
        <w:bottom w:val="none" w:sz="0" w:space="0" w:color="auto"/>
        <w:right w:val="none" w:sz="0" w:space="0" w:color="auto"/>
      </w:divBdr>
    </w:div>
    <w:div w:id="592200817">
      <w:bodyDiv w:val="1"/>
      <w:marLeft w:val="0"/>
      <w:marRight w:val="0"/>
      <w:marTop w:val="0"/>
      <w:marBottom w:val="0"/>
      <w:divBdr>
        <w:top w:val="none" w:sz="0" w:space="0" w:color="auto"/>
        <w:left w:val="none" w:sz="0" w:space="0" w:color="auto"/>
        <w:bottom w:val="none" w:sz="0" w:space="0" w:color="auto"/>
        <w:right w:val="none" w:sz="0" w:space="0" w:color="auto"/>
      </w:divBdr>
    </w:div>
    <w:div w:id="601306930">
      <w:bodyDiv w:val="1"/>
      <w:marLeft w:val="0"/>
      <w:marRight w:val="0"/>
      <w:marTop w:val="0"/>
      <w:marBottom w:val="0"/>
      <w:divBdr>
        <w:top w:val="none" w:sz="0" w:space="0" w:color="auto"/>
        <w:left w:val="none" w:sz="0" w:space="0" w:color="auto"/>
        <w:bottom w:val="none" w:sz="0" w:space="0" w:color="auto"/>
        <w:right w:val="none" w:sz="0" w:space="0" w:color="auto"/>
      </w:divBdr>
    </w:div>
    <w:div w:id="618225172">
      <w:bodyDiv w:val="1"/>
      <w:marLeft w:val="0"/>
      <w:marRight w:val="0"/>
      <w:marTop w:val="0"/>
      <w:marBottom w:val="0"/>
      <w:divBdr>
        <w:top w:val="none" w:sz="0" w:space="0" w:color="auto"/>
        <w:left w:val="none" w:sz="0" w:space="0" w:color="auto"/>
        <w:bottom w:val="none" w:sz="0" w:space="0" w:color="auto"/>
        <w:right w:val="none" w:sz="0" w:space="0" w:color="auto"/>
      </w:divBdr>
    </w:div>
    <w:div w:id="681398928">
      <w:bodyDiv w:val="1"/>
      <w:marLeft w:val="0"/>
      <w:marRight w:val="0"/>
      <w:marTop w:val="0"/>
      <w:marBottom w:val="0"/>
      <w:divBdr>
        <w:top w:val="none" w:sz="0" w:space="0" w:color="auto"/>
        <w:left w:val="none" w:sz="0" w:space="0" w:color="auto"/>
        <w:bottom w:val="none" w:sz="0" w:space="0" w:color="auto"/>
        <w:right w:val="none" w:sz="0" w:space="0" w:color="auto"/>
      </w:divBdr>
    </w:div>
    <w:div w:id="710879296">
      <w:bodyDiv w:val="1"/>
      <w:marLeft w:val="0"/>
      <w:marRight w:val="0"/>
      <w:marTop w:val="0"/>
      <w:marBottom w:val="0"/>
      <w:divBdr>
        <w:top w:val="none" w:sz="0" w:space="0" w:color="auto"/>
        <w:left w:val="none" w:sz="0" w:space="0" w:color="auto"/>
        <w:bottom w:val="none" w:sz="0" w:space="0" w:color="auto"/>
        <w:right w:val="none" w:sz="0" w:space="0" w:color="auto"/>
      </w:divBdr>
    </w:div>
    <w:div w:id="716591458">
      <w:bodyDiv w:val="1"/>
      <w:marLeft w:val="0"/>
      <w:marRight w:val="0"/>
      <w:marTop w:val="0"/>
      <w:marBottom w:val="0"/>
      <w:divBdr>
        <w:top w:val="none" w:sz="0" w:space="0" w:color="auto"/>
        <w:left w:val="none" w:sz="0" w:space="0" w:color="auto"/>
        <w:bottom w:val="none" w:sz="0" w:space="0" w:color="auto"/>
        <w:right w:val="none" w:sz="0" w:space="0" w:color="auto"/>
      </w:divBdr>
    </w:div>
    <w:div w:id="718867534">
      <w:bodyDiv w:val="1"/>
      <w:marLeft w:val="0"/>
      <w:marRight w:val="0"/>
      <w:marTop w:val="0"/>
      <w:marBottom w:val="0"/>
      <w:divBdr>
        <w:top w:val="none" w:sz="0" w:space="0" w:color="auto"/>
        <w:left w:val="none" w:sz="0" w:space="0" w:color="auto"/>
        <w:bottom w:val="none" w:sz="0" w:space="0" w:color="auto"/>
        <w:right w:val="none" w:sz="0" w:space="0" w:color="auto"/>
      </w:divBdr>
    </w:div>
    <w:div w:id="884558520">
      <w:bodyDiv w:val="1"/>
      <w:marLeft w:val="0"/>
      <w:marRight w:val="0"/>
      <w:marTop w:val="0"/>
      <w:marBottom w:val="0"/>
      <w:divBdr>
        <w:top w:val="none" w:sz="0" w:space="0" w:color="auto"/>
        <w:left w:val="none" w:sz="0" w:space="0" w:color="auto"/>
        <w:bottom w:val="none" w:sz="0" w:space="0" w:color="auto"/>
        <w:right w:val="none" w:sz="0" w:space="0" w:color="auto"/>
      </w:divBdr>
    </w:div>
    <w:div w:id="889419832">
      <w:bodyDiv w:val="1"/>
      <w:marLeft w:val="0"/>
      <w:marRight w:val="0"/>
      <w:marTop w:val="0"/>
      <w:marBottom w:val="0"/>
      <w:divBdr>
        <w:top w:val="none" w:sz="0" w:space="0" w:color="auto"/>
        <w:left w:val="none" w:sz="0" w:space="0" w:color="auto"/>
        <w:bottom w:val="none" w:sz="0" w:space="0" w:color="auto"/>
        <w:right w:val="none" w:sz="0" w:space="0" w:color="auto"/>
      </w:divBdr>
    </w:div>
    <w:div w:id="898442041">
      <w:bodyDiv w:val="1"/>
      <w:marLeft w:val="0"/>
      <w:marRight w:val="0"/>
      <w:marTop w:val="0"/>
      <w:marBottom w:val="0"/>
      <w:divBdr>
        <w:top w:val="none" w:sz="0" w:space="0" w:color="auto"/>
        <w:left w:val="none" w:sz="0" w:space="0" w:color="auto"/>
        <w:bottom w:val="none" w:sz="0" w:space="0" w:color="auto"/>
        <w:right w:val="none" w:sz="0" w:space="0" w:color="auto"/>
      </w:divBdr>
    </w:div>
    <w:div w:id="946541870">
      <w:bodyDiv w:val="1"/>
      <w:marLeft w:val="0"/>
      <w:marRight w:val="0"/>
      <w:marTop w:val="0"/>
      <w:marBottom w:val="0"/>
      <w:divBdr>
        <w:top w:val="none" w:sz="0" w:space="0" w:color="auto"/>
        <w:left w:val="none" w:sz="0" w:space="0" w:color="auto"/>
        <w:bottom w:val="none" w:sz="0" w:space="0" w:color="auto"/>
        <w:right w:val="none" w:sz="0" w:space="0" w:color="auto"/>
      </w:divBdr>
    </w:div>
    <w:div w:id="1039890107">
      <w:bodyDiv w:val="1"/>
      <w:marLeft w:val="0"/>
      <w:marRight w:val="0"/>
      <w:marTop w:val="0"/>
      <w:marBottom w:val="0"/>
      <w:divBdr>
        <w:top w:val="none" w:sz="0" w:space="0" w:color="auto"/>
        <w:left w:val="none" w:sz="0" w:space="0" w:color="auto"/>
        <w:bottom w:val="none" w:sz="0" w:space="0" w:color="auto"/>
        <w:right w:val="none" w:sz="0" w:space="0" w:color="auto"/>
      </w:divBdr>
    </w:div>
    <w:div w:id="1138113133">
      <w:bodyDiv w:val="1"/>
      <w:marLeft w:val="0"/>
      <w:marRight w:val="0"/>
      <w:marTop w:val="0"/>
      <w:marBottom w:val="0"/>
      <w:divBdr>
        <w:top w:val="none" w:sz="0" w:space="0" w:color="auto"/>
        <w:left w:val="none" w:sz="0" w:space="0" w:color="auto"/>
        <w:bottom w:val="none" w:sz="0" w:space="0" w:color="auto"/>
        <w:right w:val="none" w:sz="0" w:space="0" w:color="auto"/>
      </w:divBdr>
    </w:div>
    <w:div w:id="1138957360">
      <w:bodyDiv w:val="1"/>
      <w:marLeft w:val="0"/>
      <w:marRight w:val="0"/>
      <w:marTop w:val="0"/>
      <w:marBottom w:val="0"/>
      <w:divBdr>
        <w:top w:val="none" w:sz="0" w:space="0" w:color="auto"/>
        <w:left w:val="none" w:sz="0" w:space="0" w:color="auto"/>
        <w:bottom w:val="none" w:sz="0" w:space="0" w:color="auto"/>
        <w:right w:val="none" w:sz="0" w:space="0" w:color="auto"/>
      </w:divBdr>
    </w:div>
    <w:div w:id="1240556962">
      <w:bodyDiv w:val="1"/>
      <w:marLeft w:val="0"/>
      <w:marRight w:val="0"/>
      <w:marTop w:val="0"/>
      <w:marBottom w:val="0"/>
      <w:divBdr>
        <w:top w:val="none" w:sz="0" w:space="0" w:color="auto"/>
        <w:left w:val="none" w:sz="0" w:space="0" w:color="auto"/>
        <w:bottom w:val="none" w:sz="0" w:space="0" w:color="auto"/>
        <w:right w:val="none" w:sz="0" w:space="0" w:color="auto"/>
      </w:divBdr>
    </w:div>
    <w:div w:id="1265842117">
      <w:bodyDiv w:val="1"/>
      <w:marLeft w:val="0"/>
      <w:marRight w:val="0"/>
      <w:marTop w:val="0"/>
      <w:marBottom w:val="0"/>
      <w:divBdr>
        <w:top w:val="none" w:sz="0" w:space="0" w:color="auto"/>
        <w:left w:val="none" w:sz="0" w:space="0" w:color="auto"/>
        <w:bottom w:val="none" w:sz="0" w:space="0" w:color="auto"/>
        <w:right w:val="none" w:sz="0" w:space="0" w:color="auto"/>
      </w:divBdr>
    </w:div>
    <w:div w:id="1310086651">
      <w:bodyDiv w:val="1"/>
      <w:marLeft w:val="0"/>
      <w:marRight w:val="0"/>
      <w:marTop w:val="0"/>
      <w:marBottom w:val="0"/>
      <w:divBdr>
        <w:top w:val="none" w:sz="0" w:space="0" w:color="auto"/>
        <w:left w:val="none" w:sz="0" w:space="0" w:color="auto"/>
        <w:bottom w:val="none" w:sz="0" w:space="0" w:color="auto"/>
        <w:right w:val="none" w:sz="0" w:space="0" w:color="auto"/>
      </w:divBdr>
    </w:div>
    <w:div w:id="1362586492">
      <w:bodyDiv w:val="1"/>
      <w:marLeft w:val="0"/>
      <w:marRight w:val="0"/>
      <w:marTop w:val="0"/>
      <w:marBottom w:val="0"/>
      <w:divBdr>
        <w:top w:val="none" w:sz="0" w:space="0" w:color="auto"/>
        <w:left w:val="none" w:sz="0" w:space="0" w:color="auto"/>
        <w:bottom w:val="none" w:sz="0" w:space="0" w:color="auto"/>
        <w:right w:val="none" w:sz="0" w:space="0" w:color="auto"/>
      </w:divBdr>
    </w:div>
    <w:div w:id="1385838111">
      <w:bodyDiv w:val="1"/>
      <w:marLeft w:val="0"/>
      <w:marRight w:val="0"/>
      <w:marTop w:val="0"/>
      <w:marBottom w:val="0"/>
      <w:divBdr>
        <w:top w:val="none" w:sz="0" w:space="0" w:color="auto"/>
        <w:left w:val="none" w:sz="0" w:space="0" w:color="auto"/>
        <w:bottom w:val="none" w:sz="0" w:space="0" w:color="auto"/>
        <w:right w:val="none" w:sz="0" w:space="0" w:color="auto"/>
      </w:divBdr>
    </w:div>
    <w:div w:id="1388604711">
      <w:bodyDiv w:val="1"/>
      <w:marLeft w:val="0"/>
      <w:marRight w:val="0"/>
      <w:marTop w:val="0"/>
      <w:marBottom w:val="0"/>
      <w:divBdr>
        <w:top w:val="none" w:sz="0" w:space="0" w:color="auto"/>
        <w:left w:val="none" w:sz="0" w:space="0" w:color="auto"/>
        <w:bottom w:val="none" w:sz="0" w:space="0" w:color="auto"/>
        <w:right w:val="none" w:sz="0" w:space="0" w:color="auto"/>
      </w:divBdr>
    </w:div>
    <w:div w:id="1405224353">
      <w:bodyDiv w:val="1"/>
      <w:marLeft w:val="0"/>
      <w:marRight w:val="0"/>
      <w:marTop w:val="0"/>
      <w:marBottom w:val="0"/>
      <w:divBdr>
        <w:top w:val="none" w:sz="0" w:space="0" w:color="auto"/>
        <w:left w:val="none" w:sz="0" w:space="0" w:color="auto"/>
        <w:bottom w:val="none" w:sz="0" w:space="0" w:color="auto"/>
        <w:right w:val="none" w:sz="0" w:space="0" w:color="auto"/>
      </w:divBdr>
    </w:div>
    <w:div w:id="1453596453">
      <w:bodyDiv w:val="1"/>
      <w:marLeft w:val="0"/>
      <w:marRight w:val="0"/>
      <w:marTop w:val="0"/>
      <w:marBottom w:val="0"/>
      <w:divBdr>
        <w:top w:val="none" w:sz="0" w:space="0" w:color="auto"/>
        <w:left w:val="none" w:sz="0" w:space="0" w:color="auto"/>
        <w:bottom w:val="none" w:sz="0" w:space="0" w:color="auto"/>
        <w:right w:val="none" w:sz="0" w:space="0" w:color="auto"/>
      </w:divBdr>
    </w:div>
    <w:div w:id="1463423597">
      <w:bodyDiv w:val="1"/>
      <w:marLeft w:val="0"/>
      <w:marRight w:val="0"/>
      <w:marTop w:val="0"/>
      <w:marBottom w:val="0"/>
      <w:divBdr>
        <w:top w:val="none" w:sz="0" w:space="0" w:color="auto"/>
        <w:left w:val="none" w:sz="0" w:space="0" w:color="auto"/>
        <w:bottom w:val="none" w:sz="0" w:space="0" w:color="auto"/>
        <w:right w:val="none" w:sz="0" w:space="0" w:color="auto"/>
      </w:divBdr>
    </w:div>
    <w:div w:id="1482574844">
      <w:bodyDiv w:val="1"/>
      <w:marLeft w:val="0"/>
      <w:marRight w:val="0"/>
      <w:marTop w:val="0"/>
      <w:marBottom w:val="0"/>
      <w:divBdr>
        <w:top w:val="none" w:sz="0" w:space="0" w:color="auto"/>
        <w:left w:val="none" w:sz="0" w:space="0" w:color="auto"/>
        <w:bottom w:val="none" w:sz="0" w:space="0" w:color="auto"/>
        <w:right w:val="none" w:sz="0" w:space="0" w:color="auto"/>
      </w:divBdr>
    </w:div>
    <w:div w:id="1501457883">
      <w:bodyDiv w:val="1"/>
      <w:marLeft w:val="0"/>
      <w:marRight w:val="0"/>
      <w:marTop w:val="0"/>
      <w:marBottom w:val="0"/>
      <w:divBdr>
        <w:top w:val="none" w:sz="0" w:space="0" w:color="auto"/>
        <w:left w:val="none" w:sz="0" w:space="0" w:color="auto"/>
        <w:bottom w:val="none" w:sz="0" w:space="0" w:color="auto"/>
        <w:right w:val="none" w:sz="0" w:space="0" w:color="auto"/>
      </w:divBdr>
      <w:divsChild>
        <w:div w:id="1332681355">
          <w:marLeft w:val="0"/>
          <w:marRight w:val="0"/>
          <w:marTop w:val="0"/>
          <w:marBottom w:val="0"/>
          <w:divBdr>
            <w:top w:val="none" w:sz="0" w:space="0" w:color="auto"/>
            <w:left w:val="none" w:sz="0" w:space="0" w:color="auto"/>
            <w:bottom w:val="none" w:sz="0" w:space="0" w:color="auto"/>
            <w:right w:val="none" w:sz="0" w:space="0" w:color="auto"/>
          </w:divBdr>
          <w:divsChild>
            <w:div w:id="855969461">
              <w:marLeft w:val="0"/>
              <w:marRight w:val="0"/>
              <w:marTop w:val="0"/>
              <w:marBottom w:val="0"/>
              <w:divBdr>
                <w:top w:val="none" w:sz="0" w:space="0" w:color="auto"/>
                <w:left w:val="none" w:sz="0" w:space="0" w:color="auto"/>
                <w:bottom w:val="none" w:sz="0" w:space="0" w:color="auto"/>
                <w:right w:val="none" w:sz="0" w:space="0" w:color="auto"/>
              </w:divBdr>
              <w:divsChild>
                <w:div w:id="9566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0821">
      <w:bodyDiv w:val="1"/>
      <w:marLeft w:val="0"/>
      <w:marRight w:val="0"/>
      <w:marTop w:val="0"/>
      <w:marBottom w:val="0"/>
      <w:divBdr>
        <w:top w:val="none" w:sz="0" w:space="0" w:color="auto"/>
        <w:left w:val="none" w:sz="0" w:space="0" w:color="auto"/>
        <w:bottom w:val="none" w:sz="0" w:space="0" w:color="auto"/>
        <w:right w:val="none" w:sz="0" w:space="0" w:color="auto"/>
      </w:divBdr>
    </w:div>
    <w:div w:id="1598371286">
      <w:bodyDiv w:val="1"/>
      <w:marLeft w:val="0"/>
      <w:marRight w:val="0"/>
      <w:marTop w:val="0"/>
      <w:marBottom w:val="0"/>
      <w:divBdr>
        <w:top w:val="none" w:sz="0" w:space="0" w:color="auto"/>
        <w:left w:val="none" w:sz="0" w:space="0" w:color="auto"/>
        <w:bottom w:val="none" w:sz="0" w:space="0" w:color="auto"/>
        <w:right w:val="none" w:sz="0" w:space="0" w:color="auto"/>
      </w:divBdr>
    </w:div>
    <w:div w:id="1647785025">
      <w:bodyDiv w:val="1"/>
      <w:marLeft w:val="0"/>
      <w:marRight w:val="0"/>
      <w:marTop w:val="0"/>
      <w:marBottom w:val="0"/>
      <w:divBdr>
        <w:top w:val="none" w:sz="0" w:space="0" w:color="auto"/>
        <w:left w:val="none" w:sz="0" w:space="0" w:color="auto"/>
        <w:bottom w:val="none" w:sz="0" w:space="0" w:color="auto"/>
        <w:right w:val="none" w:sz="0" w:space="0" w:color="auto"/>
      </w:divBdr>
    </w:div>
    <w:div w:id="1714697517">
      <w:bodyDiv w:val="1"/>
      <w:marLeft w:val="0"/>
      <w:marRight w:val="0"/>
      <w:marTop w:val="0"/>
      <w:marBottom w:val="0"/>
      <w:divBdr>
        <w:top w:val="none" w:sz="0" w:space="0" w:color="auto"/>
        <w:left w:val="none" w:sz="0" w:space="0" w:color="auto"/>
        <w:bottom w:val="none" w:sz="0" w:space="0" w:color="auto"/>
        <w:right w:val="none" w:sz="0" w:space="0" w:color="auto"/>
      </w:divBdr>
    </w:div>
    <w:div w:id="1721783625">
      <w:bodyDiv w:val="1"/>
      <w:marLeft w:val="0"/>
      <w:marRight w:val="0"/>
      <w:marTop w:val="0"/>
      <w:marBottom w:val="0"/>
      <w:divBdr>
        <w:top w:val="none" w:sz="0" w:space="0" w:color="auto"/>
        <w:left w:val="none" w:sz="0" w:space="0" w:color="auto"/>
        <w:bottom w:val="none" w:sz="0" w:space="0" w:color="auto"/>
        <w:right w:val="none" w:sz="0" w:space="0" w:color="auto"/>
      </w:divBdr>
    </w:div>
    <w:div w:id="1765344874">
      <w:bodyDiv w:val="1"/>
      <w:marLeft w:val="0"/>
      <w:marRight w:val="0"/>
      <w:marTop w:val="0"/>
      <w:marBottom w:val="0"/>
      <w:divBdr>
        <w:top w:val="none" w:sz="0" w:space="0" w:color="auto"/>
        <w:left w:val="none" w:sz="0" w:space="0" w:color="auto"/>
        <w:bottom w:val="none" w:sz="0" w:space="0" w:color="auto"/>
        <w:right w:val="none" w:sz="0" w:space="0" w:color="auto"/>
      </w:divBdr>
      <w:divsChild>
        <w:div w:id="1997025346">
          <w:marLeft w:val="0"/>
          <w:marRight w:val="0"/>
          <w:marTop w:val="0"/>
          <w:marBottom w:val="0"/>
          <w:divBdr>
            <w:top w:val="none" w:sz="0" w:space="0" w:color="auto"/>
            <w:left w:val="none" w:sz="0" w:space="0" w:color="auto"/>
            <w:bottom w:val="none" w:sz="0" w:space="0" w:color="auto"/>
            <w:right w:val="none" w:sz="0" w:space="0" w:color="auto"/>
          </w:divBdr>
          <w:divsChild>
            <w:div w:id="13400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5786">
      <w:bodyDiv w:val="1"/>
      <w:marLeft w:val="0"/>
      <w:marRight w:val="0"/>
      <w:marTop w:val="0"/>
      <w:marBottom w:val="0"/>
      <w:divBdr>
        <w:top w:val="none" w:sz="0" w:space="0" w:color="auto"/>
        <w:left w:val="none" w:sz="0" w:space="0" w:color="auto"/>
        <w:bottom w:val="none" w:sz="0" w:space="0" w:color="auto"/>
        <w:right w:val="none" w:sz="0" w:space="0" w:color="auto"/>
      </w:divBdr>
    </w:div>
    <w:div w:id="1771781684">
      <w:bodyDiv w:val="1"/>
      <w:marLeft w:val="0"/>
      <w:marRight w:val="0"/>
      <w:marTop w:val="0"/>
      <w:marBottom w:val="0"/>
      <w:divBdr>
        <w:top w:val="none" w:sz="0" w:space="0" w:color="auto"/>
        <w:left w:val="none" w:sz="0" w:space="0" w:color="auto"/>
        <w:bottom w:val="none" w:sz="0" w:space="0" w:color="auto"/>
        <w:right w:val="none" w:sz="0" w:space="0" w:color="auto"/>
      </w:divBdr>
    </w:div>
    <w:div w:id="1866210357">
      <w:bodyDiv w:val="1"/>
      <w:marLeft w:val="0"/>
      <w:marRight w:val="0"/>
      <w:marTop w:val="0"/>
      <w:marBottom w:val="0"/>
      <w:divBdr>
        <w:top w:val="none" w:sz="0" w:space="0" w:color="auto"/>
        <w:left w:val="none" w:sz="0" w:space="0" w:color="auto"/>
        <w:bottom w:val="none" w:sz="0" w:space="0" w:color="auto"/>
        <w:right w:val="none" w:sz="0" w:space="0" w:color="auto"/>
      </w:divBdr>
    </w:div>
    <w:div w:id="1895576507">
      <w:bodyDiv w:val="1"/>
      <w:marLeft w:val="0"/>
      <w:marRight w:val="0"/>
      <w:marTop w:val="0"/>
      <w:marBottom w:val="0"/>
      <w:divBdr>
        <w:top w:val="none" w:sz="0" w:space="0" w:color="auto"/>
        <w:left w:val="none" w:sz="0" w:space="0" w:color="auto"/>
        <w:bottom w:val="none" w:sz="0" w:space="0" w:color="auto"/>
        <w:right w:val="none" w:sz="0" w:space="0" w:color="auto"/>
      </w:divBdr>
    </w:div>
    <w:div w:id="1905794806">
      <w:bodyDiv w:val="1"/>
      <w:marLeft w:val="0"/>
      <w:marRight w:val="0"/>
      <w:marTop w:val="0"/>
      <w:marBottom w:val="0"/>
      <w:divBdr>
        <w:top w:val="none" w:sz="0" w:space="0" w:color="auto"/>
        <w:left w:val="none" w:sz="0" w:space="0" w:color="auto"/>
        <w:bottom w:val="none" w:sz="0" w:space="0" w:color="auto"/>
        <w:right w:val="none" w:sz="0" w:space="0" w:color="auto"/>
      </w:divBdr>
    </w:div>
    <w:div w:id="1979407729">
      <w:bodyDiv w:val="1"/>
      <w:marLeft w:val="0"/>
      <w:marRight w:val="0"/>
      <w:marTop w:val="0"/>
      <w:marBottom w:val="0"/>
      <w:divBdr>
        <w:top w:val="none" w:sz="0" w:space="0" w:color="auto"/>
        <w:left w:val="none" w:sz="0" w:space="0" w:color="auto"/>
        <w:bottom w:val="none" w:sz="0" w:space="0" w:color="auto"/>
        <w:right w:val="none" w:sz="0" w:space="0" w:color="auto"/>
      </w:divBdr>
    </w:div>
    <w:div w:id="2031759193">
      <w:bodyDiv w:val="1"/>
      <w:marLeft w:val="0"/>
      <w:marRight w:val="0"/>
      <w:marTop w:val="0"/>
      <w:marBottom w:val="0"/>
      <w:divBdr>
        <w:top w:val="none" w:sz="0" w:space="0" w:color="auto"/>
        <w:left w:val="none" w:sz="0" w:space="0" w:color="auto"/>
        <w:bottom w:val="none" w:sz="0" w:space="0" w:color="auto"/>
        <w:right w:val="none" w:sz="0" w:space="0" w:color="auto"/>
      </w:divBdr>
    </w:div>
    <w:div w:id="2082438076">
      <w:bodyDiv w:val="1"/>
      <w:marLeft w:val="0"/>
      <w:marRight w:val="0"/>
      <w:marTop w:val="0"/>
      <w:marBottom w:val="0"/>
      <w:divBdr>
        <w:top w:val="none" w:sz="0" w:space="0" w:color="auto"/>
        <w:left w:val="none" w:sz="0" w:space="0" w:color="auto"/>
        <w:bottom w:val="none" w:sz="0" w:space="0" w:color="auto"/>
        <w:right w:val="none" w:sz="0" w:space="0" w:color="auto"/>
      </w:divBdr>
    </w:div>
    <w:div w:id="2135828461">
      <w:bodyDiv w:val="1"/>
      <w:marLeft w:val="0"/>
      <w:marRight w:val="0"/>
      <w:marTop w:val="0"/>
      <w:marBottom w:val="0"/>
      <w:divBdr>
        <w:top w:val="none" w:sz="0" w:space="0" w:color="auto"/>
        <w:left w:val="none" w:sz="0" w:space="0" w:color="auto"/>
        <w:bottom w:val="none" w:sz="0" w:space="0" w:color="auto"/>
        <w:right w:val="none" w:sz="0" w:space="0" w:color="auto"/>
      </w:divBdr>
    </w:div>
    <w:div w:id="213863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ithub.com/jay14bay/USGS_G22AP0019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hyperlink" Target="https://github.com/jay14bay/USGS_G22AP0019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7E364-2445-43A2-9288-677B4AE8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35</Pages>
  <Words>6604</Words>
  <Characters>37646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Bayless, Jeff</dc:creator>
  <cp:keywords/>
  <dc:description/>
  <cp:lastModifiedBy>Bayless, Jeffrey</cp:lastModifiedBy>
  <cp:revision>44</cp:revision>
  <cp:lastPrinted>2024-02-08T23:06:00Z</cp:lastPrinted>
  <dcterms:created xsi:type="dcterms:W3CDTF">2024-02-08T23:06:00Z</dcterms:created>
  <dcterms:modified xsi:type="dcterms:W3CDTF">2024-07-25T20:16:00Z</dcterms:modified>
</cp:coreProperties>
</file>